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2585D" w:rsidRPr="0022585D" w14:paraId="74025F12" w14:textId="77777777" w:rsidTr="002258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bottom w:val="single" w:sz="6" w:space="0" w:color="AEAEA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2585D" w:rsidRPr="0022585D" w14:paraId="61AB640C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 w14:paraId="4550A3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22585D" w:rsidRPr="0022585D" w14:paraId="58F6014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831EBD" w14:textId="77777777" w:rsidR="0022585D" w:rsidRDefault="00C3037D" w:rsidP="0022585D">
                              <w:pPr>
                                <w:spacing w:line="276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C2C74F" wp14:editId="7F64FE4F">
                                    <wp:extent cx="5943600" cy="1024890"/>
                                    <wp:effectExtent l="0" t="0" r="0" b="381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3600" cy="1024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2585D" w:rsidRPr="0022585D" w14:paraId="09C526D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2585D" w:rsidRPr="0022585D" w14:paraId="24898DE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53EE744" w14:textId="65C910AD" w:rsid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Dear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_____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,</w:t>
                                          </w:r>
                                          <w:r w:rsidRPr="0022585D"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On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Wednesday February 21, 20</w:t>
                                          </w:r>
                                          <w:r w:rsid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24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Banking’s Bill Payment service will get a new look and improved navigation features aimed at making your online experience even better! </w:t>
                                          </w:r>
                                        </w:p>
                                        <w:p w14:paraId="493AF4CB" w14:textId="77777777" w:rsid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75CDE875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Details of these exciting enhancements, as well as “what you need to know” and tips on how to prepare for these changes are noted below…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D7D31" w:themeColor="accent2"/>
                                              <w:sz w:val="21"/>
                                              <w:szCs w:val="21"/>
                                            </w:rPr>
                                            <w:t>so READ ON!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Bill Pay Enhancements: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              </w:t>
                                          </w:r>
                                        </w:p>
                                        <w:p w14:paraId="08AA28F2" w14:textId="77777777" w:rsidR="00055F23" w:rsidRPr="00055F23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Streamlined Bill Payment 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navigation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will enable you to 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move easily between approval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, 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payment, and history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 tasks. </w:t>
                                          </w:r>
                                        </w:p>
                                        <w:p w14:paraId="775BD31A" w14:textId="6D91AD16"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This new design will facilitate 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paying and approving multiple bills at once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14:paraId="18BE7D5D" w14:textId="77777777"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Better positioned links for administrative-type tasks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such as reports and user settings. These links will now appear to the right of the payment windows.</w:t>
                                          </w:r>
                                        </w:p>
                                        <w:p w14:paraId="5EDC286F" w14:textId="77777777"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Bill Pay’s powerful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reporting tool now includes graphs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to aid in analyzing how your money is spent.</w:t>
                                          </w:r>
                                        </w:p>
                                        <w:p w14:paraId="3F080763" w14:textId="77777777"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View and plan payments based on your account balance(s) with Bill Pay’s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new “Balance Worksheet”.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14:paraId="32102B5F" w14:textId="77777777" w:rsid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To preview these enhancements, please visit the following demonstration l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ink: </w:t>
                                          </w:r>
                                        </w:p>
                                        <w:p w14:paraId="315C9D26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FF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>http://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FF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>airiodion.com/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What You Need </w:t>
                                          </w:r>
                                          <w:r w:rsidR="00BC67C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o Know and Tips </w:t>
                                          </w:r>
                                          <w:r w:rsidR="00BC67C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o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 Preparing for Wednesday February 21st:</w:t>
                                          </w:r>
                                        </w:p>
                                        <w:p w14:paraId="49059924" w14:textId="77777777"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Our online Bill Pay service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will NOT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 be available for your use through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Banking beginning at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8:30 AM ET and ending approximately at 1:00 PM ET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 </w:t>
                                          </w:r>
                                        </w:p>
                                        <w:p w14:paraId="76D0C7DA" w14:textId="77777777" w:rsidR="0022585D" w:rsidRPr="00055F23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70AD47" w:themeColor="accent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TIP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 xml:space="preserve">: Your access to Bill Pay services and managing Payees through our Consumer Mobile Banking application will not be affected during this </w:t>
                                          </w:r>
                                          <w:r w:rsidR="00BC67CB"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time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14:paraId="428FE4DD" w14:textId="77777777"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Any bills you may have scheduled in advance of Wednesday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will not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be affected, even those bills that you have instructed us to pay on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14:paraId="254BD711" w14:textId="77777777" w:rsidR="0022585D" w:rsidRPr="00055F23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70AD47" w:themeColor="accent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TIP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: Schedule payments and create new payees before Wednesday February 21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14:paraId="6986666A" w14:textId="738485AE"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This maintenance window will only affect your access to bill payment services. The other features of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Banking will be available for your use. </w:t>
                                          </w:r>
                                        </w:p>
                                        <w:p w14:paraId="6413D609" w14:textId="3E095F65" w:rsidR="0022585D" w:rsidRPr="00055F23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70AD47" w:themeColor="accent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TIP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: Plan for Bill Pay’s Wednesday February 21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 downtime by entering early (prior to 8:30 AM ET on Wednesday February 21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) any bill payment instructions you may have.</w:t>
                                          </w:r>
                                        </w:p>
                                        <w:p w14:paraId="6806F5D4" w14:textId="77777777"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Adding individuals as new payees for electronic payments will no longer be available after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through Bill Payment. If you add a person as a new Bill Pay payee after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, the person will </w:t>
                                          </w:r>
                                          <w:r w:rsidR="00BC67C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be 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paid via a paper check. Individual payees existing prior to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will not be affected. </w:t>
                                          </w:r>
                                        </w:p>
                                        <w:p w14:paraId="6E11A8B2" w14:textId="77777777" w:rsidR="0022585D" w:rsidRPr="00055F23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70AD47" w:themeColor="accent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TIP</w:t>
                                          </w:r>
                                          <w:r w:rsidRPr="00055F23">
                                            <w:rPr>
                                              <w:rFonts w:ascii="Arial" w:eastAsia="Times New Roman" w:hAnsi="Arial" w:cs="Arial"/>
                                              <w:color w:val="70AD47" w:themeColor="accent6"/>
                                              <w:sz w:val="21"/>
                                              <w:szCs w:val="21"/>
                                            </w:rPr>
                                            <w:t>: If you need to send funds electronically to an individual, please register to use our People Pay service.</w:t>
                                          </w:r>
                                        </w:p>
                                        <w:p w14:paraId="368196F9" w14:textId="038D9185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We apologize for any inconvenience this temporary disruption to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Bill Pay services may cause. However, we trust that the resulting enhancements will help ease your Bill Payment service usage, increase </w:t>
                                          </w:r>
                                          <w:proofErr w:type="gramStart"/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efficiency</w:t>
                                          </w:r>
                                          <w:proofErr w:type="gramEnd"/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and save you time.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If you have any questions, please contact our Customer Contact Center at 800.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000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0000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(Monday – Friday 8:00 AM to 7:00 PM ET; Saturday 9:00 AM to 2:00 PM ET) or your local </w:t>
                                          </w:r>
                                          <w:r w:rsidR="00055F23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branch.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Sincerely,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 SAMPLE BANK</w:t>
                                          </w:r>
                                        </w:p>
                                      </w:tc>
                                    </w:tr>
                                    <w:tr w:rsidR="0022585D" w:rsidRPr="0022585D" w14:paraId="130C330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14:paraId="4C166ACE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0E9DB6" w14:textId="77777777" w:rsidR="0022585D" w:rsidRPr="0022585D" w:rsidRDefault="0022585D" w:rsidP="0022585D">
                                    <w:pPr>
                                      <w:spacing w:after="0" w:line="276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70944B" w14:textId="77777777" w:rsidR="0022585D" w:rsidRPr="0022585D" w:rsidRDefault="0022585D" w:rsidP="0022585D">
                              <w:pPr>
                                <w:spacing w:after="0" w:line="276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09CAAC8" w14:textId="77777777" w:rsidR="0022585D" w:rsidRPr="0022585D" w:rsidRDefault="0022585D" w:rsidP="0022585D">
                        <w:pPr>
                          <w:spacing w:after="0" w:line="276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193E455" w14:textId="77777777"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72A1208" w14:textId="77777777" w:rsidR="0022585D" w:rsidRPr="0022585D" w:rsidRDefault="0022585D" w:rsidP="0022585D">
            <w:pPr>
              <w:spacing w:after="0" w:line="276" w:lineRule="auto"/>
              <w:rPr>
                <w:rFonts w:ascii="Helvetica" w:eastAsia="Times New Roman" w:hAnsi="Helvetica" w:cs="Helvetica"/>
                <w:color w:val="808080"/>
                <w:sz w:val="24"/>
                <w:szCs w:val="24"/>
              </w:rPr>
            </w:pPr>
          </w:p>
        </w:tc>
      </w:tr>
      <w:tr w:rsidR="0022585D" w:rsidRPr="0022585D" w14:paraId="4631AFAF" w14:textId="77777777" w:rsidTr="002258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bottom w:val="single" w:sz="6" w:space="0" w:color="AEAEA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2585D" w:rsidRPr="0022585D" w14:paraId="7F4D1ECF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 w14:paraId="47BB76A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2585D" w:rsidRPr="0022585D" w14:paraId="559FA56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6"/>
                              </w:tblGrid>
                              <w:tr w:rsidR="0022585D" w:rsidRPr="0022585D" w14:paraId="02AB7E7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 w14:paraId="7A4B9726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062F26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F27E8C" w14:textId="77777777"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 w14:paraId="01CDA84B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ED9082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BDE949" w14:textId="77777777"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  <w:r w:rsidRPr="0022585D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 w14:paraId="6EFB4CA7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AB7D86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B88DBE" w14:textId="77777777"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 w14:paraId="5DDE4BAA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227B3A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09B2AB" w14:textId="77777777"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 w14:paraId="7D73A534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1811E6" w14:textId="77777777"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895B772" w14:textId="77777777"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202E5F" w14:textId="77777777" w:rsidR="0022585D" w:rsidRPr="0022585D" w:rsidRDefault="0022585D" w:rsidP="0022585D">
                              <w:pPr>
                                <w:spacing w:after="0" w:line="276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898C49C" w14:textId="77777777" w:rsidR="0022585D" w:rsidRPr="0022585D" w:rsidRDefault="0022585D" w:rsidP="0022585D">
                        <w:pPr>
                          <w:spacing w:after="0" w:line="276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DC4BB29" w14:textId="77777777"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4CA3E269" w14:textId="77777777" w:rsidR="0022585D" w:rsidRPr="0022585D" w:rsidRDefault="0022585D" w:rsidP="0022585D">
            <w:pPr>
              <w:spacing w:after="0" w:line="276" w:lineRule="auto"/>
              <w:rPr>
                <w:rFonts w:ascii="Helvetica" w:eastAsia="Times New Roman" w:hAnsi="Helvetica" w:cs="Helvetica"/>
                <w:color w:val="808080"/>
                <w:sz w:val="24"/>
                <w:szCs w:val="24"/>
              </w:rPr>
            </w:pPr>
          </w:p>
        </w:tc>
      </w:tr>
      <w:tr w:rsidR="0022585D" w:rsidRPr="0022585D" w14:paraId="6C3E1A35" w14:textId="77777777" w:rsidTr="002258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2585D" w:rsidRPr="0022585D" w14:paraId="0CA4C12F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 w14:paraId="21AF1E2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2DA8BC" w14:textId="6097DE40" w:rsidR="0022585D" w:rsidRPr="0022585D" w:rsidRDefault="00055F23" w:rsidP="0022585D">
                        <w:pPr>
                          <w:spacing w:after="0" w:line="276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hyperlink r:id="rId6" w:history="1">
                          <w:r w:rsidR="0022585D" w:rsidRPr="0022585D">
                            <w:t>M</w:t>
                          </w:r>
                        </w:hyperlink>
                        <w:r w:rsidR="0022585D" w:rsidRPr="0022585D">
                          <w:rPr>
                            <w:rFonts w:ascii="Helvetica" w:eastAsia="Times New Roman" w:hAnsi="Helvetica" w:cs="Helvetica"/>
                            <w:sz w:val="17"/>
                            <w:szCs w:val="17"/>
                          </w:rPr>
                          <w:t>ember FDIC   |   </w:t>
                        </w:r>
                        <w:r w:rsidR="0022585D" w:rsidRPr="0022585D">
                          <w:rPr>
                            <w:rFonts w:ascii="Helvetica" w:eastAsia="Times New Roman" w:hAnsi="Helvetica" w:cs="Helvetica"/>
                            <w:color w:val="808284"/>
                            <w:sz w:val="17"/>
                            <w:szCs w:val="17"/>
                            <w:u w:val="single"/>
                          </w:rPr>
                          <w:t>www.airiodionconsulting.com</w:t>
                        </w:r>
                        <w:r w:rsidR="0022585D" w:rsidRPr="0022585D">
                          <w:rPr>
                            <w:rFonts w:ascii="Helvetica" w:eastAsia="Times New Roman" w:hAnsi="Helvetica" w:cs="Helvetica"/>
                            <w:sz w:val="17"/>
                            <w:szCs w:val="17"/>
                          </w:rPr>
                          <w:t xml:space="preserve">   </w:t>
                        </w:r>
                        <w:proofErr w:type="gramStart"/>
                        <w:r w:rsidR="0022585D" w:rsidRPr="0022585D">
                          <w:rPr>
                            <w:rFonts w:ascii="Helvetica" w:eastAsia="Times New Roman" w:hAnsi="Helvetica" w:cs="Helvetica"/>
                            <w:sz w:val="17"/>
                            <w:szCs w:val="17"/>
                          </w:rPr>
                          <w:t>|  </w:t>
                        </w:r>
                        <w:r w:rsidR="0022585D" w:rsidRPr="0022585D">
                          <w:rPr>
                            <w:rFonts w:ascii="Helvetica" w:eastAsia="Times New Roman" w:hAnsi="Helvetica" w:cs="Helvetica"/>
                            <w:color w:val="808080"/>
                            <w:sz w:val="17"/>
                            <w:szCs w:val="17"/>
                            <w:u w:val="single"/>
                          </w:rPr>
                          <w:t>Copyright</w:t>
                        </w:r>
                        <w:proofErr w:type="gramEnd"/>
                        <w:r w:rsidR="0022585D" w:rsidRPr="0022585D">
                          <w:rPr>
                            <w:rFonts w:ascii="Helvetica" w:eastAsia="Times New Roman" w:hAnsi="Helvetica" w:cs="Helvetica"/>
                            <w:color w:val="808080"/>
                            <w:sz w:val="17"/>
                            <w:szCs w:val="17"/>
                            <w:u w:val="single"/>
                          </w:rPr>
                          <w:t xml:space="preserve"> 20</w:t>
                        </w:r>
                        <w:r>
                          <w:rPr>
                            <w:rFonts w:ascii="Helvetica" w:eastAsia="Times New Roman" w:hAnsi="Helvetica" w:cs="Helvetica"/>
                            <w:color w:val="808080"/>
                            <w:sz w:val="17"/>
                            <w:szCs w:val="17"/>
                            <w:u w:val="single"/>
                          </w:rPr>
                          <w:t>24</w:t>
                        </w:r>
                      </w:p>
                    </w:tc>
                  </w:tr>
                </w:tbl>
                <w:p w14:paraId="56254AC9" w14:textId="77777777"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 w14:paraId="25B764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2585D" w:rsidRPr="0022585D" w14:paraId="3C8E4F9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B2E1D3" w14:textId="77777777" w:rsidR="0022585D" w:rsidRPr="0022585D" w:rsidRDefault="0022585D" w:rsidP="0022585D">
                              <w:pPr>
                                <w:spacing w:after="0" w:line="276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This email was sent by: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 w:cs="Helvetica"/>
                                  <w:b/>
                                  <w:bCs/>
                                  <w:color w:val="444444"/>
                                  <w:sz w:val="15"/>
                                  <w:szCs w:val="15"/>
                                </w:rPr>
                                <w:t>ACG Sample Bank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br/>
                                <w:t xml:space="preserve">100 </w:t>
                              </w:r>
                              <w:r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Lane Street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No City, No State, 05000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0, US</w:t>
                              </w:r>
                              <w:r w:rsidRPr="0022585D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3A8F4784" w14:textId="77777777" w:rsidR="0022585D" w:rsidRPr="0022585D" w:rsidRDefault="0022585D" w:rsidP="0022585D">
                        <w:pPr>
                          <w:spacing w:after="0" w:line="276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22585D">
                          <w:rPr>
                            <w:rFonts w:ascii="Helvetica" w:eastAsia="Times New Roman" w:hAnsi="Helvetica" w:cs="Helvetica"/>
                            <w:color w:val="1155CC"/>
                            <w:sz w:val="18"/>
                            <w:szCs w:val="18"/>
                            <w:u w:val="single"/>
                          </w:rPr>
                          <w:t>Update Profile</w:t>
                        </w:r>
                        <w:r w:rsidRPr="0022585D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</w:r>
                        <w:r w:rsidRPr="0022585D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</w:r>
                        <w:r w:rsidRPr="0022585D">
                          <w:rPr>
                            <w:rFonts w:ascii="Helvetica" w:eastAsia="Times New Roman" w:hAnsi="Helvetica" w:cs="Helvetica"/>
                            <w:color w:val="1155CC"/>
                            <w:sz w:val="18"/>
                            <w:szCs w:val="18"/>
                            <w:u w:val="single"/>
                          </w:rPr>
                          <w:t>Unsubscribe</w:t>
                        </w:r>
                      </w:p>
                    </w:tc>
                  </w:tr>
                </w:tbl>
                <w:p w14:paraId="079C2785" w14:textId="77777777"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793CD77" w14:textId="77777777" w:rsidR="0022585D" w:rsidRPr="0022585D" w:rsidRDefault="0022585D" w:rsidP="0022585D">
            <w:pPr>
              <w:spacing w:after="0" w:line="276" w:lineRule="auto"/>
              <w:rPr>
                <w:rFonts w:ascii="Helvetica" w:eastAsia="Times New Roman" w:hAnsi="Helvetica" w:cs="Helvetica"/>
                <w:color w:val="808080"/>
                <w:sz w:val="24"/>
                <w:szCs w:val="24"/>
              </w:rPr>
            </w:pPr>
          </w:p>
        </w:tc>
      </w:tr>
    </w:tbl>
    <w:p w14:paraId="25804423" w14:textId="77777777" w:rsidR="0022585D" w:rsidRDefault="0022585D" w:rsidP="0022585D">
      <w:pPr>
        <w:spacing w:line="276" w:lineRule="auto"/>
      </w:pPr>
    </w:p>
    <w:sectPr w:rsidR="0022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537E"/>
    <w:multiLevelType w:val="multilevel"/>
    <w:tmpl w:val="817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95771"/>
    <w:multiLevelType w:val="multilevel"/>
    <w:tmpl w:val="C2C8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D6B6F"/>
    <w:multiLevelType w:val="hybridMultilevel"/>
    <w:tmpl w:val="830E49D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zAxNjI1NDc3MTRW0lEKTi0uzszPAykwrAUAZ6icmywAAAA="/>
  </w:docVars>
  <w:rsids>
    <w:rsidRoot w:val="0022585D"/>
    <w:rsid w:val="00055F23"/>
    <w:rsid w:val="0022585D"/>
    <w:rsid w:val="00BC67CB"/>
    <w:rsid w:val="00C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3C41"/>
  <w15:chartTrackingRefBased/>
  <w15:docId w15:val="{CBD942FD-5676-4162-9238-F26A9E7D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8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Ai</dc:creator>
  <cp:keywords/>
  <dc:description/>
  <cp:lastModifiedBy>Francesca Crolley</cp:lastModifiedBy>
  <cp:revision>2</cp:revision>
  <dcterms:created xsi:type="dcterms:W3CDTF">2021-12-02T23:20:00Z</dcterms:created>
  <dcterms:modified xsi:type="dcterms:W3CDTF">2021-12-02T23:20:00Z</dcterms:modified>
</cp:coreProperties>
</file>