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1B11" w14:textId="77777777" w:rsidR="00EB4E29" w:rsidRPr="00EB4E29" w:rsidRDefault="00EB4E29" w:rsidP="00EB4E29">
      <w:pPr>
        <w:rPr>
          <w:rFonts w:ascii="Arial" w:eastAsiaTheme="majorEastAsia" w:hAnsi="Arial" w:cs="Arial"/>
          <w:color w:val="000000" w:themeColor="text1"/>
          <w:spacing w:val="10"/>
          <w:sz w:val="28"/>
          <w:szCs w:val="28"/>
          <w:lang w:val="en-IN"/>
        </w:rPr>
      </w:pPr>
      <w:r w:rsidRPr="00EB4E29">
        <w:rPr>
          <w:rFonts w:ascii="Arial" w:eastAsiaTheme="majorEastAsia" w:hAnsi="Arial" w:cs="Arial"/>
          <w:color w:val="000000" w:themeColor="text1"/>
          <w:spacing w:val="10"/>
          <w:sz w:val="28"/>
          <w:szCs w:val="28"/>
          <w:lang w:val="en-IN"/>
        </w:rPr>
        <w:t>[Your Organization Name]</w:t>
      </w:r>
    </w:p>
    <w:p w14:paraId="1ADD5CE1" w14:textId="77777777" w:rsidR="00EB4E29" w:rsidRDefault="00EB4E29" w:rsidP="00EB4E29"/>
    <w:p w14:paraId="3940E753" w14:textId="77777777" w:rsidR="00EB4E29" w:rsidRPr="00EB4E29" w:rsidRDefault="00EB4E29" w:rsidP="00EB4E29">
      <w:pPr>
        <w:jc w:val="center"/>
        <w:rPr>
          <w:rFonts w:ascii="Arial" w:eastAsiaTheme="majorEastAsia" w:hAnsi="Arial" w:cs="Arial"/>
          <w:b/>
          <w:bCs/>
          <w:color w:val="4472C4" w:themeColor="accent1"/>
          <w:spacing w:val="10"/>
          <w:sz w:val="60"/>
          <w:szCs w:val="60"/>
          <w:lang w:val="en-IN"/>
        </w:rPr>
      </w:pPr>
      <w:r>
        <w:rPr>
          <w:rFonts w:ascii="Arial" w:eastAsiaTheme="majorEastAsia" w:hAnsi="Arial" w:cs="Arial"/>
          <w:b/>
          <w:bCs/>
          <w:color w:val="4472C4" w:themeColor="accent1"/>
          <w:spacing w:val="10"/>
          <w:sz w:val="60"/>
          <w:szCs w:val="60"/>
          <w:lang w:val="en-IN"/>
        </w:rPr>
        <w:t xml:space="preserve">ITIL </w:t>
      </w:r>
      <w:r w:rsidRPr="00EB4E29">
        <w:rPr>
          <w:rFonts w:ascii="Arial" w:eastAsiaTheme="majorEastAsia" w:hAnsi="Arial" w:cs="Arial"/>
          <w:b/>
          <w:bCs/>
          <w:color w:val="4472C4" w:themeColor="accent1"/>
          <w:spacing w:val="10"/>
          <w:sz w:val="60"/>
          <w:szCs w:val="60"/>
          <w:lang w:val="en-IN"/>
        </w:rPr>
        <w:t>Change Control Policy Template</w:t>
      </w:r>
    </w:p>
    <w:p w14:paraId="09F72EDA" w14:textId="77777777" w:rsidR="00EB4E29" w:rsidRDefault="00EB4E29" w:rsidP="00EB4E29"/>
    <w:p w14:paraId="6ACD108C" w14:textId="77777777" w:rsid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1. </w:t>
      </w:r>
      <w:r w:rsidRPr="00EB4E29">
        <w:rPr>
          <w:rFonts w:ascii="Arial" w:hAnsi="Arial" w:cs="Arial"/>
          <w:b/>
          <w:bCs/>
          <w:color w:val="4472C4" w:themeColor="accent1"/>
          <w:sz w:val="32"/>
          <w:szCs w:val="32"/>
        </w:rPr>
        <w:t>Introduction</w:t>
      </w:r>
    </w:p>
    <w:p w14:paraId="5800C345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30500403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1.1. Objective:</w:t>
      </w:r>
    </w:p>
    <w:p w14:paraId="08B6A7AF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624B87B7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 xml:space="preserve">This policy aims to regulate the management of changes within [Your Organization Name], ensuring that any modification to services or service management processes are controlled, reducing the chance of unintended </w:t>
      </w:r>
      <w:proofErr w:type="gramStart"/>
      <w:r w:rsidRPr="00EB4E29">
        <w:rPr>
          <w:rFonts w:ascii="Arial" w:hAnsi="Arial" w:cs="Arial"/>
          <w:sz w:val="28"/>
          <w:szCs w:val="28"/>
        </w:rPr>
        <w:t>disruption</w:t>
      </w:r>
      <w:proofErr w:type="gramEnd"/>
      <w:r w:rsidRPr="00EB4E29">
        <w:rPr>
          <w:rFonts w:ascii="Arial" w:hAnsi="Arial" w:cs="Arial"/>
          <w:sz w:val="28"/>
          <w:szCs w:val="28"/>
        </w:rPr>
        <w:t xml:space="preserve"> and enhancing the benefits of the changes.</w:t>
      </w:r>
    </w:p>
    <w:p w14:paraId="06A25897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1D2D5BEB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1.2. Applicability:</w:t>
      </w:r>
    </w:p>
    <w:p w14:paraId="702C0FA6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656145DE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This policy is applicable to all alterations affecting the IT services, infrastructure, applications, systems, and associated processes of [Your Organization Name]. It is incumbent on all employees, contractors, stakeholders, and associated parties participating in the change management process.</w:t>
      </w:r>
    </w:p>
    <w:p w14:paraId="5FC24B82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3BD7AFB7" w14:textId="77777777" w:rsid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2. </w:t>
      </w:r>
      <w:r w:rsidRPr="00EB4E29">
        <w:rPr>
          <w:rFonts w:ascii="Arial" w:hAnsi="Arial" w:cs="Arial"/>
          <w:b/>
          <w:bCs/>
          <w:color w:val="4472C4" w:themeColor="accent1"/>
          <w:sz w:val="32"/>
          <w:szCs w:val="32"/>
        </w:rPr>
        <w:t>ITIL Change Management Process</w:t>
      </w:r>
    </w:p>
    <w:p w14:paraId="5C7CD220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3B95FCE0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2.1. Request for Change (RFC) Submission:</w:t>
      </w:r>
    </w:p>
    <w:p w14:paraId="041302C2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64A0F538" w14:textId="621B6E55" w:rsid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Any member or team within [Your Organization Name] can raise a Request for Change (RFC) using the standard RFC Form.</w:t>
      </w:r>
      <w:r w:rsidR="003A3E1C">
        <w:rPr>
          <w:rFonts w:ascii="Arial" w:hAnsi="Arial" w:cs="Arial"/>
          <w:sz w:val="28"/>
          <w:szCs w:val="28"/>
        </w:rPr>
        <w:t xml:space="preserve"> </w:t>
      </w:r>
      <w:r w:rsidRPr="00EB4E29">
        <w:rPr>
          <w:rFonts w:ascii="Arial" w:hAnsi="Arial" w:cs="Arial"/>
          <w:sz w:val="28"/>
          <w:szCs w:val="28"/>
        </w:rPr>
        <w:t>The form must articulate the nature of the proposed change, its purpose, expected benefits, and potential influence on the impacted services or processes.</w:t>
      </w:r>
    </w:p>
    <w:p w14:paraId="0DEC46E7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3C68D26D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2.2. RFC Assessment:</w:t>
      </w:r>
    </w:p>
    <w:p w14:paraId="1C5D7684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48987467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The Change Advisory Board (CAB) or the authorized change management entity will evaluate all incoming RFCs.</w:t>
      </w:r>
    </w:p>
    <w:p w14:paraId="1BB67414" w14:textId="77777777" w:rsid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lastRenderedPageBreak/>
        <w:t>Any RFC lacking requisite details or not complying with the standard format may be returned to the originator for further elucidation or rectification.</w:t>
      </w:r>
    </w:p>
    <w:p w14:paraId="418FE2E1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47FFB3BF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2.3. Impact and Risk Analysis:</w:t>
      </w:r>
    </w:p>
    <w:p w14:paraId="379F7057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3EB15B98" w14:textId="21C45143" w:rsid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The CAB will perform a comprehensive impact and risk assessment for each RFC.</w:t>
      </w:r>
      <w:r w:rsidR="00F57008">
        <w:rPr>
          <w:rFonts w:ascii="Arial" w:hAnsi="Arial" w:cs="Arial"/>
          <w:sz w:val="28"/>
          <w:szCs w:val="28"/>
        </w:rPr>
        <w:t xml:space="preserve"> </w:t>
      </w:r>
      <w:r w:rsidRPr="00EB4E29">
        <w:rPr>
          <w:rFonts w:ascii="Arial" w:hAnsi="Arial" w:cs="Arial"/>
          <w:sz w:val="28"/>
          <w:szCs w:val="28"/>
        </w:rPr>
        <w:t>The assessment will gauge the impact of the change on IT services, infrastructure, resources, timeline, and associated risks.</w:t>
      </w:r>
    </w:p>
    <w:p w14:paraId="3513A1D3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4D33D9B1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2.4. Risk Management and Mitigation:</w:t>
      </w:r>
    </w:p>
    <w:p w14:paraId="5933446D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673D3BD5" w14:textId="370E0756" w:rsid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The CAB will identify and evaluate risks associated with each proposed change.</w:t>
      </w:r>
      <w:r w:rsidR="00F57008">
        <w:rPr>
          <w:rFonts w:ascii="Arial" w:hAnsi="Arial" w:cs="Arial"/>
          <w:sz w:val="28"/>
          <w:szCs w:val="28"/>
        </w:rPr>
        <w:t xml:space="preserve"> </w:t>
      </w:r>
      <w:r w:rsidRPr="00EB4E29">
        <w:rPr>
          <w:rFonts w:ascii="Arial" w:hAnsi="Arial" w:cs="Arial"/>
          <w:sz w:val="28"/>
          <w:szCs w:val="28"/>
        </w:rPr>
        <w:t>Risk mitigation strategies and contingency plans will be formulated and considered during the decision-making process.</w:t>
      </w:r>
    </w:p>
    <w:p w14:paraId="332D4EAB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6C2FCC5C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2.5. RFC Prioritization and Decision:</w:t>
      </w:r>
    </w:p>
    <w:p w14:paraId="00BFE840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1F0D316B" w14:textId="12CBA922" w:rsid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The CAB will prioritize RFCs based on urgency, significance, alignment with organizational goals, and potential impact.</w:t>
      </w:r>
      <w:r w:rsidR="00F57008">
        <w:rPr>
          <w:rFonts w:ascii="Arial" w:hAnsi="Arial" w:cs="Arial"/>
          <w:sz w:val="28"/>
          <w:szCs w:val="28"/>
        </w:rPr>
        <w:t xml:space="preserve"> </w:t>
      </w:r>
      <w:r w:rsidRPr="00EB4E29">
        <w:rPr>
          <w:rFonts w:ascii="Arial" w:hAnsi="Arial" w:cs="Arial"/>
          <w:sz w:val="28"/>
          <w:szCs w:val="28"/>
        </w:rPr>
        <w:t>Decisions to authorize, reject, or defer RFCs will be based on the outcome of the impact and risk assessments.</w:t>
      </w:r>
    </w:p>
    <w:p w14:paraId="582D8E11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66B004DB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2.6. Change Authorization:</w:t>
      </w:r>
    </w:p>
    <w:p w14:paraId="09B727DE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40F93F9B" w14:textId="4A523C9A" w:rsid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Authorized changes will be recorded and disseminated to concerned stakeholders.</w:t>
      </w:r>
      <w:r w:rsidR="00F57008">
        <w:rPr>
          <w:rFonts w:ascii="Arial" w:hAnsi="Arial" w:cs="Arial"/>
          <w:sz w:val="28"/>
          <w:szCs w:val="28"/>
        </w:rPr>
        <w:t xml:space="preserve"> </w:t>
      </w:r>
      <w:r w:rsidRPr="00EB4E29">
        <w:rPr>
          <w:rFonts w:ascii="Arial" w:hAnsi="Arial" w:cs="Arial"/>
          <w:sz w:val="28"/>
          <w:szCs w:val="28"/>
        </w:rPr>
        <w:t>Each approved change will be assigned a unique identifier for tracking purposes.</w:t>
      </w:r>
    </w:p>
    <w:p w14:paraId="3509EF82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59360BAB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2.7. Change Deployment Planning:</w:t>
      </w:r>
    </w:p>
    <w:p w14:paraId="096A76DE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53918F15" w14:textId="1F043F8F" w:rsid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For authorized changes, the IT team or associated stakeholders will develop a detailed change deployment plan.</w:t>
      </w:r>
      <w:r w:rsidR="00F57008">
        <w:rPr>
          <w:rFonts w:ascii="Arial" w:hAnsi="Arial" w:cs="Arial"/>
          <w:sz w:val="28"/>
          <w:szCs w:val="28"/>
        </w:rPr>
        <w:t xml:space="preserve"> </w:t>
      </w:r>
      <w:r w:rsidRPr="00EB4E29">
        <w:rPr>
          <w:rFonts w:ascii="Arial" w:hAnsi="Arial" w:cs="Arial"/>
          <w:sz w:val="28"/>
          <w:szCs w:val="28"/>
        </w:rPr>
        <w:t>The plan will specify the necessary steps, resources, timeline, and communication strategy for executing the change.</w:t>
      </w:r>
    </w:p>
    <w:p w14:paraId="122B02BB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17147B34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2.8. Change Implementation:</w:t>
      </w:r>
    </w:p>
    <w:p w14:paraId="07C7475F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264919BE" w14:textId="07F93BFA" w:rsid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lastRenderedPageBreak/>
        <w:t>The IT team or accountable parties will implement the authorized changes following the agreed plan.</w:t>
      </w:r>
      <w:r w:rsidR="00F57008">
        <w:rPr>
          <w:rFonts w:ascii="Arial" w:hAnsi="Arial" w:cs="Arial"/>
          <w:sz w:val="28"/>
          <w:szCs w:val="28"/>
        </w:rPr>
        <w:t xml:space="preserve"> </w:t>
      </w:r>
      <w:r w:rsidRPr="00EB4E29">
        <w:rPr>
          <w:rFonts w:ascii="Arial" w:hAnsi="Arial" w:cs="Arial"/>
          <w:sz w:val="28"/>
          <w:szCs w:val="28"/>
        </w:rPr>
        <w:t>The CAB may require updates on the progress to ensure that changes are being executed as planned.</w:t>
      </w:r>
    </w:p>
    <w:p w14:paraId="5D6D44CC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43F52E7C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2.9. Change Monitoring and Review:</w:t>
      </w:r>
    </w:p>
    <w:p w14:paraId="300525DC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640A7AAE" w14:textId="36C0564D" w:rsid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The CAB will supervise the execution of authorized changes to confirm they achieve the intended outcomes and do not introduce unanticipated effects.</w:t>
      </w:r>
      <w:r w:rsidR="00F57008">
        <w:rPr>
          <w:rFonts w:ascii="Arial" w:hAnsi="Arial" w:cs="Arial"/>
          <w:sz w:val="28"/>
          <w:szCs w:val="28"/>
        </w:rPr>
        <w:t xml:space="preserve"> </w:t>
      </w:r>
      <w:r w:rsidRPr="00EB4E29">
        <w:rPr>
          <w:rFonts w:ascii="Arial" w:hAnsi="Arial" w:cs="Arial"/>
          <w:sz w:val="28"/>
          <w:szCs w:val="28"/>
        </w:rPr>
        <w:t>Any deviation from the change deployment plan will be promptly addressed.</w:t>
      </w:r>
    </w:p>
    <w:p w14:paraId="01115EAD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1269B0D2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2.10. Post-Implementation Review:</w:t>
      </w:r>
    </w:p>
    <w:p w14:paraId="7BB134F0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7EC34536" w14:textId="3716476D" w:rsid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Upon complete implementation of changes, a Post-Implementation Review (PIR) will be conducted to evaluate their effectiveness and impact.</w:t>
      </w:r>
      <w:r w:rsidR="00F57008">
        <w:rPr>
          <w:rFonts w:ascii="Arial" w:hAnsi="Arial" w:cs="Arial"/>
          <w:sz w:val="28"/>
          <w:szCs w:val="28"/>
        </w:rPr>
        <w:t xml:space="preserve"> </w:t>
      </w:r>
      <w:r w:rsidRPr="00EB4E29">
        <w:rPr>
          <w:rFonts w:ascii="Arial" w:hAnsi="Arial" w:cs="Arial"/>
          <w:sz w:val="28"/>
          <w:szCs w:val="28"/>
        </w:rPr>
        <w:t>The PIR will capture lessons learned which will be shared with the CAB and concerned stakeholders.</w:t>
      </w:r>
    </w:p>
    <w:p w14:paraId="244318B6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3D17CDC4" w14:textId="77777777" w:rsid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3. </w:t>
      </w:r>
      <w:r w:rsidRPr="00EB4E29">
        <w:rPr>
          <w:rFonts w:ascii="Arial" w:hAnsi="Arial" w:cs="Arial"/>
          <w:b/>
          <w:bCs/>
          <w:color w:val="4472C4" w:themeColor="accent1"/>
          <w:sz w:val="32"/>
          <w:szCs w:val="32"/>
        </w:rPr>
        <w:t>Change Advisory Board (CAB)</w:t>
      </w:r>
    </w:p>
    <w:p w14:paraId="553DB543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3B5FBC1C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3.1. Composition:</w:t>
      </w:r>
    </w:p>
    <w:p w14:paraId="62C03FCF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7639438B" w14:textId="7549EFFA" w:rsid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The CAB will include key stakeholders, IT experts, and service managers from relevant areas.</w:t>
      </w:r>
      <w:r w:rsidR="00F57008">
        <w:rPr>
          <w:rFonts w:ascii="Arial" w:hAnsi="Arial" w:cs="Arial"/>
          <w:sz w:val="28"/>
          <w:szCs w:val="28"/>
        </w:rPr>
        <w:t xml:space="preserve"> </w:t>
      </w:r>
      <w:r w:rsidRPr="00EB4E29">
        <w:rPr>
          <w:rFonts w:ascii="Arial" w:hAnsi="Arial" w:cs="Arial"/>
          <w:sz w:val="28"/>
          <w:szCs w:val="28"/>
        </w:rPr>
        <w:t>The CAB may engage additional stakeholders or experts to participate in specific meetings as required.</w:t>
      </w:r>
    </w:p>
    <w:p w14:paraId="0DE11A2B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</w:p>
    <w:p w14:paraId="0FB5A20A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3.2. Meeting Cadence:</w:t>
      </w:r>
    </w:p>
    <w:p w14:paraId="461618DF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58C5088A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The CAB will convene regularly to review RFCs and take decisions.</w:t>
      </w:r>
    </w:p>
    <w:p w14:paraId="19E574B2" w14:textId="77777777" w:rsid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The frequency and schedule of CAB meetings will be outlined to ensure timely handling of RFCs.</w:t>
      </w:r>
    </w:p>
    <w:p w14:paraId="12BA8CFC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19BF5B7E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3.3. Decision-Making Process:</w:t>
      </w:r>
    </w:p>
    <w:p w14:paraId="5D25B03C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7A67F1A0" w14:textId="778C99EC" w:rsid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The CAB will evaluate each RFC based on its potential impact, feasibility, risks, benefits, and alignment with the service strategy.</w:t>
      </w:r>
      <w:r w:rsidR="00F57008">
        <w:rPr>
          <w:rFonts w:ascii="Arial" w:hAnsi="Arial" w:cs="Arial"/>
          <w:sz w:val="28"/>
          <w:szCs w:val="28"/>
        </w:rPr>
        <w:t xml:space="preserve"> </w:t>
      </w:r>
      <w:r w:rsidRPr="00EB4E29">
        <w:rPr>
          <w:rFonts w:ascii="Arial" w:hAnsi="Arial" w:cs="Arial"/>
          <w:sz w:val="28"/>
          <w:szCs w:val="28"/>
        </w:rPr>
        <w:t>Decisions will be reached either by consensus or, if necessary, by a vote.</w:t>
      </w:r>
    </w:p>
    <w:p w14:paraId="00AD914C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1DABC1FD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3.4. Authority and Scope:</w:t>
      </w:r>
    </w:p>
    <w:p w14:paraId="613DD549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673BB689" w14:textId="7BE3C7C1" w:rsid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The CAB is authorized to approve changes within the defined scope and constraints of the organization's IT services and processes.</w:t>
      </w:r>
      <w:r w:rsidR="00F57008">
        <w:rPr>
          <w:rFonts w:ascii="Arial" w:hAnsi="Arial" w:cs="Arial"/>
          <w:sz w:val="28"/>
          <w:szCs w:val="28"/>
        </w:rPr>
        <w:t xml:space="preserve"> </w:t>
      </w:r>
      <w:r w:rsidRPr="00EB4E29">
        <w:rPr>
          <w:rFonts w:ascii="Arial" w:hAnsi="Arial" w:cs="Arial"/>
          <w:sz w:val="28"/>
          <w:szCs w:val="28"/>
        </w:rPr>
        <w:t>Changes that fall outside the scope or authority of the CAB will be escalated to the appropriate governance body or authority.</w:t>
      </w:r>
    </w:p>
    <w:p w14:paraId="78D69E7A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5C8AA00F" w14:textId="77777777" w:rsid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4. </w:t>
      </w:r>
      <w:r w:rsidRPr="00EB4E29">
        <w:rPr>
          <w:rFonts w:ascii="Arial" w:hAnsi="Arial" w:cs="Arial"/>
          <w:b/>
          <w:bCs/>
          <w:color w:val="4472C4" w:themeColor="accent1"/>
          <w:sz w:val="32"/>
          <w:szCs w:val="32"/>
        </w:rPr>
        <w:t>Documentation and Reporting</w:t>
      </w:r>
    </w:p>
    <w:p w14:paraId="4D2B5576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127A6CEE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4.1. Documentation:</w:t>
      </w:r>
    </w:p>
    <w:p w14:paraId="7DB1B0DC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7F272CDA" w14:textId="1B268FDD" w:rsid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Detailed documentation of the change management process, including RFCs, impact assessments, decisions, and deployment plans, will be maintained for audit and reference purposes.</w:t>
      </w:r>
      <w:r w:rsidR="00F57008">
        <w:rPr>
          <w:rFonts w:ascii="Arial" w:hAnsi="Arial" w:cs="Arial"/>
          <w:sz w:val="28"/>
          <w:szCs w:val="28"/>
        </w:rPr>
        <w:t xml:space="preserve"> </w:t>
      </w:r>
      <w:r w:rsidRPr="00EB4E29">
        <w:rPr>
          <w:rFonts w:ascii="Arial" w:hAnsi="Arial" w:cs="Arial"/>
          <w:sz w:val="28"/>
          <w:szCs w:val="28"/>
        </w:rPr>
        <w:t>Relevant stakeholders will be informed of the status and outcomes of authorized changes through regular reporting.</w:t>
      </w:r>
    </w:p>
    <w:p w14:paraId="1CF09B56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5583FAB2" w14:textId="77777777" w:rsidR="00EB4E29" w:rsidRPr="00EB4E29" w:rsidRDefault="00EB4E29" w:rsidP="00EB4E29">
      <w:pPr>
        <w:rPr>
          <w:rFonts w:ascii="Arial" w:hAnsi="Arial" w:cs="Arial"/>
          <w:color w:val="4472C4" w:themeColor="accent1"/>
          <w:sz w:val="28"/>
          <w:szCs w:val="28"/>
        </w:rPr>
      </w:pPr>
      <w:r w:rsidRPr="00EB4E29">
        <w:rPr>
          <w:rFonts w:ascii="Arial" w:hAnsi="Arial" w:cs="Arial"/>
          <w:color w:val="4472C4" w:themeColor="accent1"/>
          <w:sz w:val="28"/>
          <w:szCs w:val="28"/>
        </w:rPr>
        <w:t>4.2. Training and Communication:</w:t>
      </w:r>
    </w:p>
    <w:p w14:paraId="4335714E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1F5830F9" w14:textId="41DC3C71" w:rsid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All employees and stakeholders involved in change management will receive appropriate training on the ITIL Change Management Policy and associated procedures.</w:t>
      </w:r>
      <w:r w:rsidR="00F57008">
        <w:rPr>
          <w:rFonts w:ascii="Arial" w:hAnsi="Arial" w:cs="Arial"/>
          <w:sz w:val="28"/>
          <w:szCs w:val="28"/>
        </w:rPr>
        <w:t xml:space="preserve"> </w:t>
      </w:r>
      <w:r w:rsidRPr="00EB4E29">
        <w:rPr>
          <w:rFonts w:ascii="Arial" w:hAnsi="Arial" w:cs="Arial"/>
          <w:sz w:val="28"/>
          <w:szCs w:val="28"/>
        </w:rPr>
        <w:t>Regular communication and awareness initiatives will be conducted to reinforce the importance of adhering to the policy.</w:t>
      </w:r>
    </w:p>
    <w:p w14:paraId="155B713D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7013EE26" w14:textId="77777777" w:rsid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5. </w:t>
      </w:r>
      <w:r w:rsidRPr="00EB4E29">
        <w:rPr>
          <w:rFonts w:ascii="Arial" w:hAnsi="Arial" w:cs="Arial"/>
          <w:b/>
          <w:bCs/>
          <w:color w:val="4472C4" w:themeColor="accent1"/>
          <w:sz w:val="32"/>
          <w:szCs w:val="32"/>
        </w:rPr>
        <w:t>Continual Improvement</w:t>
      </w:r>
    </w:p>
    <w:p w14:paraId="47A42276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7ECAF00A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5.1. The ITIL Change Management Policy and procedures will be regularly reviewed to ensure they remain effective and aligned with the organization's objectives and industry best practices.</w:t>
      </w:r>
    </w:p>
    <w:p w14:paraId="4A67B468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0780CE87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5.2. Feedback and lessons learned from the change management process will be considered for process improvement and enhancement.</w:t>
      </w:r>
    </w:p>
    <w:p w14:paraId="737FD53A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0A23F727" w14:textId="77777777" w:rsid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6. </w:t>
      </w:r>
      <w:r w:rsidRPr="00EB4E29">
        <w:rPr>
          <w:rFonts w:ascii="Arial" w:hAnsi="Arial" w:cs="Arial"/>
          <w:b/>
          <w:bCs/>
          <w:color w:val="4472C4" w:themeColor="accent1"/>
          <w:sz w:val="32"/>
          <w:szCs w:val="32"/>
        </w:rPr>
        <w:t>Compliance</w:t>
      </w:r>
    </w:p>
    <w:p w14:paraId="20CD47FF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7E4FB748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6.1. All employees and stakeholders are expected to comply with this ITIL Change Management Policy and its associated procedures.</w:t>
      </w:r>
    </w:p>
    <w:p w14:paraId="53374775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0ABD288D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lastRenderedPageBreak/>
        <w:t>6.2. Non-compliance may lead to appropriate actions, including corrective measures, disciplinary actions, or other consequences as defined by the organization's policies.</w:t>
      </w:r>
    </w:p>
    <w:p w14:paraId="15C962EC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69E4A5F7" w14:textId="77777777" w:rsid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7. </w:t>
      </w:r>
      <w:r w:rsidRPr="00EB4E29">
        <w:rPr>
          <w:rFonts w:ascii="Arial" w:hAnsi="Arial" w:cs="Arial"/>
          <w:b/>
          <w:bCs/>
          <w:color w:val="4472C4" w:themeColor="accent1"/>
          <w:sz w:val="32"/>
          <w:szCs w:val="32"/>
        </w:rPr>
        <w:t>Policy Review and Amendments</w:t>
      </w:r>
    </w:p>
    <w:p w14:paraId="03BFD159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70CEE3EC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7.1. This ITIL Change Management Policy will be reviewed at regular intervals to ensure its relevance and effectiveness.</w:t>
      </w:r>
    </w:p>
    <w:p w14:paraId="4C0AD576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56ABEC1A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7.2. Amendments to this policy will be approved by [appropriate authority or governing body] and communicated to all relevant stakeholders.</w:t>
      </w:r>
    </w:p>
    <w:p w14:paraId="1C8D924A" w14:textId="77777777" w:rsidR="00EB4E29" w:rsidRPr="00EB4E29" w:rsidRDefault="00EB4E29" w:rsidP="00EB4E2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7E31E97C" w14:textId="77777777" w:rsidR="005C4DE8" w:rsidRDefault="00EB4E29" w:rsidP="00EB4E29">
      <w:pPr>
        <w:rPr>
          <w:rFonts w:ascii="Arial" w:hAnsi="Arial" w:cs="Arial"/>
          <w:sz w:val="28"/>
          <w:szCs w:val="28"/>
        </w:rPr>
      </w:pPr>
      <w:r w:rsidRPr="00EB4E29">
        <w:rPr>
          <w:rFonts w:ascii="Arial" w:hAnsi="Arial" w:cs="Arial"/>
          <w:sz w:val="28"/>
          <w:szCs w:val="28"/>
        </w:rPr>
        <w:t>[Signature lines for key stakeholders, indicating their approval of the ITIL Change Management Policy]</w:t>
      </w:r>
    </w:p>
    <w:p w14:paraId="5BD73A9F" w14:textId="77777777" w:rsid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6AF0DA46" w14:textId="77777777" w:rsid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34F29A94" w14:textId="77777777" w:rsidR="00EB4E29" w:rsidRPr="0056753E" w:rsidRDefault="00EB4E29" w:rsidP="00EB4E29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Date of Approval:</w:t>
      </w:r>
    </w:p>
    <w:p w14:paraId="5A20F003" w14:textId="77777777" w:rsid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3CA49189" w14:textId="77777777" w:rsid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10700492" w14:textId="77777777" w:rsidR="00EB4E29" w:rsidRPr="0056753E" w:rsidRDefault="00EB4E29" w:rsidP="00EB4E29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__________________</w:t>
      </w:r>
    </w:p>
    <w:p w14:paraId="346C19AD" w14:textId="77777777" w:rsidR="00EB4E29" w:rsidRPr="0056753E" w:rsidRDefault="00EB4E29" w:rsidP="00EB4E29">
      <w:pPr>
        <w:rPr>
          <w:rFonts w:ascii="Arial" w:hAnsi="Arial" w:cs="Arial"/>
          <w:sz w:val="28"/>
          <w:szCs w:val="28"/>
        </w:rPr>
      </w:pPr>
    </w:p>
    <w:p w14:paraId="3221C403" w14:textId="77777777" w:rsid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5469697A" w14:textId="77777777" w:rsidR="00EB4E29" w:rsidRPr="0056753E" w:rsidRDefault="00EB4E29" w:rsidP="00EB4E29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[Name and Title of Approving Authority]:</w:t>
      </w:r>
    </w:p>
    <w:p w14:paraId="6B00449C" w14:textId="77777777" w:rsid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045505F8" w14:textId="77777777" w:rsid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4CD2A0C8" w14:textId="77777777" w:rsidR="00EB4E29" w:rsidRPr="0056753E" w:rsidRDefault="00EB4E29" w:rsidP="00EB4E29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__________________</w:t>
      </w:r>
    </w:p>
    <w:p w14:paraId="476F0082" w14:textId="77777777" w:rsid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08734BA1" w14:textId="77777777" w:rsidR="00EB4E29" w:rsidRPr="0056753E" w:rsidRDefault="00EB4E29" w:rsidP="00EB4E29">
      <w:pPr>
        <w:rPr>
          <w:rFonts w:ascii="Arial" w:hAnsi="Arial" w:cs="Arial"/>
          <w:sz w:val="28"/>
          <w:szCs w:val="28"/>
        </w:rPr>
      </w:pPr>
    </w:p>
    <w:p w14:paraId="4A290F24" w14:textId="77777777" w:rsidR="00EB4E29" w:rsidRDefault="00EB4E29" w:rsidP="00EB4E29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[Names and Titles of Key Stakeholders]:</w:t>
      </w:r>
    </w:p>
    <w:p w14:paraId="2436C600" w14:textId="77777777" w:rsid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6456B362" w14:textId="77777777" w:rsid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6D2C9815" w14:textId="77777777" w:rsidR="00EB4E29" w:rsidRPr="0056753E" w:rsidRDefault="00EB4E29" w:rsidP="00EB4E29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__________________</w:t>
      </w:r>
    </w:p>
    <w:p w14:paraId="62D34388" w14:textId="77777777" w:rsid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5DD29371" w14:textId="77777777" w:rsidR="00EB4E29" w:rsidRPr="0056753E" w:rsidRDefault="00EB4E29" w:rsidP="00EB4E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56753E">
        <w:rPr>
          <w:rFonts w:ascii="Arial" w:hAnsi="Arial" w:cs="Arial"/>
          <w:sz w:val="28"/>
          <w:szCs w:val="28"/>
        </w:rPr>
        <w:t>__________________</w:t>
      </w:r>
    </w:p>
    <w:p w14:paraId="726F4A7D" w14:textId="77777777" w:rsid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32898197" w14:textId="77777777" w:rsidR="00EB4E29" w:rsidRPr="0056753E" w:rsidRDefault="00EB4E29" w:rsidP="00EB4E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56753E">
        <w:rPr>
          <w:rFonts w:ascii="Arial" w:hAnsi="Arial" w:cs="Arial"/>
          <w:sz w:val="28"/>
          <w:szCs w:val="28"/>
        </w:rPr>
        <w:t>__________________</w:t>
      </w:r>
    </w:p>
    <w:p w14:paraId="603D5226" w14:textId="77777777" w:rsid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2B8562E8" w14:textId="77777777" w:rsidR="00EB4E29" w:rsidRPr="0056753E" w:rsidRDefault="00EB4E29" w:rsidP="00EB4E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 w:rsidRPr="0056753E">
        <w:rPr>
          <w:rFonts w:ascii="Arial" w:hAnsi="Arial" w:cs="Arial"/>
          <w:sz w:val="28"/>
          <w:szCs w:val="28"/>
        </w:rPr>
        <w:t>__________________</w:t>
      </w:r>
    </w:p>
    <w:p w14:paraId="373035B9" w14:textId="77777777" w:rsidR="00EB4E29" w:rsidRDefault="00EB4E29" w:rsidP="00EB4E29">
      <w:pPr>
        <w:rPr>
          <w:rFonts w:ascii="Arial" w:hAnsi="Arial" w:cs="Arial"/>
          <w:sz w:val="28"/>
          <w:szCs w:val="28"/>
        </w:rPr>
      </w:pPr>
    </w:p>
    <w:p w14:paraId="4F89D312" w14:textId="77777777" w:rsidR="00EB4E29" w:rsidRPr="00EB4E29" w:rsidRDefault="00EB4E29" w:rsidP="00EB4E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sectPr w:rsidR="00EB4E29" w:rsidRPr="00EB4E2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F325" w14:textId="77777777" w:rsidR="007B622C" w:rsidRDefault="007B622C" w:rsidP="00EB4E29">
      <w:r>
        <w:separator/>
      </w:r>
    </w:p>
  </w:endnote>
  <w:endnote w:type="continuationSeparator" w:id="0">
    <w:p w14:paraId="5554BB77" w14:textId="77777777" w:rsidR="007B622C" w:rsidRDefault="007B622C" w:rsidP="00EB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9C5B" w14:textId="77777777" w:rsidR="00EB4E29" w:rsidRPr="00210756" w:rsidRDefault="00EB4E29" w:rsidP="00EB4E29">
    <w:pPr>
      <w:pStyle w:val="Footer"/>
      <w:rPr>
        <w:rFonts w:ascii="Arial Rounded MT Bold" w:hAnsi="Arial Rounded MT Bold"/>
        <w:color w:val="808080" w:themeColor="background1" w:themeShade="80"/>
        <w:sz w:val="18"/>
        <w:szCs w:val="18"/>
      </w:rPr>
    </w:pPr>
    <w:r w:rsidRPr="003D3177">
      <w:rPr>
        <w:rFonts w:ascii="Arial Rounded MT Bold" w:hAnsi="Arial Rounded MT Bol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322B68D9" wp14:editId="466208B3">
          <wp:simplePos x="0" y="0"/>
          <wp:positionH relativeFrom="column">
            <wp:posOffset>5819775</wp:posOffset>
          </wp:positionH>
          <wp:positionV relativeFrom="paragraph">
            <wp:posOffset>-635</wp:posOffset>
          </wp:positionV>
          <wp:extent cx="714375" cy="272143"/>
          <wp:effectExtent l="0" t="0" r="0" b="0"/>
          <wp:wrapNone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272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>OCMSolution.</w:t>
    </w:r>
    <w:r w:rsidRPr="003D3177">
      <w:rPr>
        <w:rFonts w:ascii="Arial Rounded MT Bold" w:hAnsi="Arial Rounded MT Bold"/>
        <w:color w:val="808080" w:themeColor="background1" w:themeShade="80"/>
        <w:sz w:val="18"/>
        <w:szCs w:val="18"/>
      </w:rPr>
      <w:t>com</w:t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</w:p>
  <w:p w14:paraId="4DF722AE" w14:textId="77777777" w:rsidR="00EB4E29" w:rsidRDefault="00EB4E29" w:rsidP="00EB4E29">
    <w:pPr>
      <w:pStyle w:val="Footer"/>
    </w:pPr>
  </w:p>
  <w:p w14:paraId="1CFA3BF7" w14:textId="77777777" w:rsidR="00EB4E29" w:rsidRDefault="00EB4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5B38" w14:textId="77777777" w:rsidR="007B622C" w:rsidRDefault="007B622C" w:rsidP="00EB4E29">
      <w:r>
        <w:separator/>
      </w:r>
    </w:p>
  </w:footnote>
  <w:footnote w:type="continuationSeparator" w:id="0">
    <w:p w14:paraId="1A5498A6" w14:textId="77777777" w:rsidR="007B622C" w:rsidRDefault="007B622C" w:rsidP="00EB4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29"/>
    <w:rsid w:val="003A010D"/>
    <w:rsid w:val="003A3E1C"/>
    <w:rsid w:val="005C4DE8"/>
    <w:rsid w:val="00640C5B"/>
    <w:rsid w:val="007B622C"/>
    <w:rsid w:val="008A76C8"/>
    <w:rsid w:val="00A34716"/>
    <w:rsid w:val="00EB4E29"/>
    <w:rsid w:val="00F5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71A7"/>
  <w15:chartTrackingRefBased/>
  <w15:docId w15:val="{CA0B15D5-E021-AA4F-B0DF-469AB5D0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E29"/>
  </w:style>
  <w:style w:type="paragraph" w:styleId="Footer">
    <w:name w:val="footer"/>
    <w:basedOn w:val="Normal"/>
    <w:link w:val="FooterChar"/>
    <w:uiPriority w:val="99"/>
    <w:unhideWhenUsed/>
    <w:rsid w:val="00EB4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Banić</dc:creator>
  <cp:keywords/>
  <dc:description/>
  <cp:lastModifiedBy>Airiodion, Ogbe (Contractor)</cp:lastModifiedBy>
  <cp:revision>5</cp:revision>
  <dcterms:created xsi:type="dcterms:W3CDTF">2023-08-03T16:19:00Z</dcterms:created>
  <dcterms:modified xsi:type="dcterms:W3CDTF">2023-08-06T21:27:00Z</dcterms:modified>
</cp:coreProperties>
</file>