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1B11" w14:textId="77777777" w:rsidR="00EB4E29" w:rsidRPr="00EB4E29" w:rsidRDefault="00EB4E29" w:rsidP="00EB4E29">
      <w:pPr>
        <w:rPr>
          <w:rFonts w:ascii="Arial" w:eastAsiaTheme="majorEastAsia" w:hAnsi="Arial" w:cs="Arial"/>
          <w:color w:val="000000" w:themeColor="text1"/>
          <w:spacing w:val="10"/>
          <w:sz w:val="28"/>
          <w:szCs w:val="28"/>
          <w:lang w:val="en-IN"/>
        </w:rPr>
      </w:pPr>
      <w:r w:rsidRPr="00EB4E29">
        <w:rPr>
          <w:rFonts w:ascii="Arial" w:eastAsiaTheme="majorEastAsia" w:hAnsi="Arial" w:cs="Arial"/>
          <w:color w:val="000000" w:themeColor="text1"/>
          <w:spacing w:val="10"/>
          <w:sz w:val="28"/>
          <w:szCs w:val="28"/>
          <w:lang w:val="en-IN"/>
        </w:rPr>
        <w:t>[Your Organization Name]</w:t>
      </w:r>
    </w:p>
    <w:p w14:paraId="1ADD5CE1" w14:textId="77777777" w:rsidR="00EB4E29" w:rsidRDefault="00EB4E29" w:rsidP="00EB4E29"/>
    <w:p w14:paraId="3940E753" w14:textId="77777777" w:rsidR="00EB4E29" w:rsidRPr="00EB4E29" w:rsidRDefault="00EB4E29" w:rsidP="00EB4E29">
      <w:pPr>
        <w:jc w:val="center"/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</w:pPr>
      <w:r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  <w:t xml:space="preserve">ITIL </w:t>
      </w:r>
      <w:r w:rsidRPr="00EB4E29"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  <w:t>Change Control Policy Template</w:t>
      </w:r>
    </w:p>
    <w:p w14:paraId="09F72EDA" w14:textId="77777777" w:rsidR="00EB4E29" w:rsidRDefault="00EB4E29" w:rsidP="00EB4E29"/>
    <w:p w14:paraId="6ACD108C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1.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Introduction</w:t>
      </w:r>
    </w:p>
    <w:p w14:paraId="5800C345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30500403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1.1. Objective:</w:t>
      </w:r>
    </w:p>
    <w:p w14:paraId="08B6A7AF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24B87B7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 xml:space="preserve">This policy aims to regulate the management of changes within [Your Organization Name], ensuring that any modification to services or service management processes are controlled, reducing the chance of unintended </w:t>
      </w:r>
      <w:proofErr w:type="gramStart"/>
      <w:r w:rsidRPr="00EB4E29">
        <w:rPr>
          <w:rFonts w:ascii="Arial" w:hAnsi="Arial" w:cs="Arial"/>
          <w:sz w:val="28"/>
          <w:szCs w:val="28"/>
        </w:rPr>
        <w:t>disruption</w:t>
      </w:r>
      <w:proofErr w:type="gramEnd"/>
      <w:r w:rsidRPr="00EB4E29">
        <w:rPr>
          <w:rFonts w:ascii="Arial" w:hAnsi="Arial" w:cs="Arial"/>
          <w:sz w:val="28"/>
          <w:szCs w:val="28"/>
        </w:rPr>
        <w:t xml:space="preserve"> and enhancing the benefits of the changes.</w:t>
      </w:r>
    </w:p>
    <w:p w14:paraId="06A25897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1D2D5BEB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1.2. Applicability:</w:t>
      </w:r>
    </w:p>
    <w:p w14:paraId="702C0FA6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56145DE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This policy is applicable to all alterations affecting the IT services, infrastructure, applications, systems, and associated processes of [Your Organization Name]. It is incumbent on all employees, contractors, stakeholders, and associated parties participating in the change management process.</w:t>
      </w:r>
    </w:p>
    <w:p w14:paraId="5FC24B82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3BD7AFB7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2.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ITIL Change Management Process</w:t>
      </w:r>
    </w:p>
    <w:p w14:paraId="5C7CD220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3B95FCE0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2.1. Request for Change (RFC) Submission:</w:t>
      </w:r>
    </w:p>
    <w:p w14:paraId="041302C2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4A0F538" w14:textId="621B6E55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Any member or team within [Your Organization Name] can raise a Request for Change (RFC) using the standard RFC Form.</w:t>
      </w:r>
      <w:r w:rsidR="003A3E1C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The form must articulate the nature of the proposed change, its purpose, expected benefits, and potential influence on the impacted services or processes.</w:t>
      </w:r>
    </w:p>
    <w:p w14:paraId="0DEC46E7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3C68D26D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2.2. RFC Assessment:</w:t>
      </w:r>
    </w:p>
    <w:p w14:paraId="1C5D7684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48987467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Change Advisory Board (CAB) or the authorized change management entity will evaluate all incoming RFCs.</w:t>
      </w:r>
    </w:p>
    <w:p w14:paraId="1BB67414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lastRenderedPageBreak/>
        <w:t>Any RFC lacking requisite details or not complying with the standard format may be returned to the originator for further elucidation or rectification.</w:t>
      </w:r>
    </w:p>
    <w:p w14:paraId="418FE2E1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47FFB3BF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2.3. Impact and Risk Analysis:</w:t>
      </w:r>
    </w:p>
    <w:p w14:paraId="379F7057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3EB15B98" w14:textId="21C45143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perform a comprehensive impact and risk assessment for each RFC.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The assessment will gauge the impact of the change on IT services, infrastructure, resources, timeline, and associated risks.</w:t>
      </w:r>
    </w:p>
    <w:p w14:paraId="3513A1D3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4D33D9B1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2.4. Risk Management and Mitigation:</w:t>
      </w:r>
    </w:p>
    <w:p w14:paraId="5933446D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673D3BD5" w14:textId="370E0756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identify and evaluate risks associated with each proposed change.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Risk mitigation strategies and contingency plans will be formulated and considered during the decision-making process.</w:t>
      </w:r>
    </w:p>
    <w:p w14:paraId="332D4EAB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6C2FCC5C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2.5. RFC Prioritization and Decision:</w:t>
      </w:r>
    </w:p>
    <w:p w14:paraId="00BFE840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1F0D316B" w14:textId="12CBA922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prioritize RFCs based on urgency, significance, alignment with organizational goals, and potential impact.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Decisions to authorize, reject, or defer RFCs will be based on the outcome of the impact and risk assessments.</w:t>
      </w:r>
    </w:p>
    <w:p w14:paraId="582D8E11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66B004DB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2.6. Change Authorization:</w:t>
      </w:r>
    </w:p>
    <w:p w14:paraId="09B727DE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40F93F9B" w14:textId="4A523C9A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Authorized changes will be recorded and disseminated to concerned stakeholders.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Each approved change will be assigned a unique identifier for tracking purposes.</w:t>
      </w:r>
    </w:p>
    <w:p w14:paraId="3509EF82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59360BAB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2.7. Change Deployment Planning:</w:t>
      </w:r>
    </w:p>
    <w:p w14:paraId="096A76DE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53918F15" w14:textId="1F043F8F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For authorized changes, the IT team or associated stakeholders will develop a detailed change deployment plan.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The plan will specify the necessary steps, resources, timeline, and communication strategy for executing the change.</w:t>
      </w:r>
    </w:p>
    <w:p w14:paraId="122B02BB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17147B34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2.8. Change Implementation:</w:t>
      </w:r>
    </w:p>
    <w:p w14:paraId="07C7475F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264919BE" w14:textId="07F93BFA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lastRenderedPageBreak/>
        <w:t>The IT team or accountable parties will implement the authorized changes following the agreed plan.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The CAB may require updates on the progress to ensure that changes are being executed as planned.</w:t>
      </w:r>
    </w:p>
    <w:p w14:paraId="5D6D44CC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43F52E7C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2.9. Change Monitoring and Review:</w:t>
      </w:r>
    </w:p>
    <w:p w14:paraId="300525DC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40A7AAE" w14:textId="36C0564D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supervise the execution of authorized changes to confirm they achieve the intended outcomes and do not introduce unanticipated effects.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Any deviation from the change deployment plan will be promptly addressed.</w:t>
      </w:r>
    </w:p>
    <w:p w14:paraId="01115EAD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1269B0D2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2.10. Post-Implementation Review:</w:t>
      </w:r>
    </w:p>
    <w:p w14:paraId="7BB134F0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EC34536" w14:textId="3716476D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Upon complete implementation of changes, a Post-Implementation Review (PIR) will be conducted to evaluate their effectiveness and impact.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The PIR will capture lessons learned which will be shared with the CAB and concerned stakeholders.</w:t>
      </w:r>
    </w:p>
    <w:p w14:paraId="244318B6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3D17CDC4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3.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Change Advisory Board (CAB)</w:t>
      </w:r>
    </w:p>
    <w:p w14:paraId="553DB543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3B5FBC1C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3.1. Composition:</w:t>
      </w:r>
    </w:p>
    <w:p w14:paraId="62C03FCF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639438B" w14:textId="7549EFFA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include key stakeholders, IT experts, and service managers from relevant areas.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The CAB may engage additional stakeholders or experts to participate in specific meetings as required.</w:t>
      </w:r>
    </w:p>
    <w:p w14:paraId="0DE11A2B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0FB5A20A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3.2. Meeting Cadence:</w:t>
      </w:r>
    </w:p>
    <w:p w14:paraId="461618DF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58C5088A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convene regularly to review RFCs and take decisions.</w:t>
      </w:r>
    </w:p>
    <w:p w14:paraId="19E574B2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frequency and schedule of CAB meetings will be outlined to ensure timely handling of RFCs.</w:t>
      </w:r>
    </w:p>
    <w:p w14:paraId="12BA8CFC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19BF5B7E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3.3. Decision-Making Process:</w:t>
      </w:r>
    </w:p>
    <w:p w14:paraId="5D25B03C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A67F1A0" w14:textId="778C99EC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will evaluate each RFC based on its potential impact, feasibility, risks, benefits, and alignment with the service strategy.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Decisions will be reached either by consensus or, if necessary, by a vote.</w:t>
      </w:r>
    </w:p>
    <w:p w14:paraId="00AD914C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1DABC1FD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3.4. Authority and Scope:</w:t>
      </w:r>
    </w:p>
    <w:p w14:paraId="613DD549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73BB689" w14:textId="7BE3C7C1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The CAB is authorized to approve changes within the defined scope and constraints of the organization's IT services and processes.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Changes that fall outside the scope or authority of the CAB will be escalated to the appropriate governance body or authority.</w:t>
      </w:r>
    </w:p>
    <w:p w14:paraId="78D69E7A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5C8AA00F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4.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Documentation and Reporting</w:t>
      </w:r>
    </w:p>
    <w:p w14:paraId="4D2B5576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127A6CEE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4.1. Documentation:</w:t>
      </w:r>
    </w:p>
    <w:p w14:paraId="7DB1B0DC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F272CDA" w14:textId="1B268FDD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Detailed documentation of the change management process, including RFCs, impact assessments, decisions, and deployment plans, will be maintained for audit and reference purposes.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Relevant stakeholders will be informed of the status and outcomes of authorized changes through regular reporting.</w:t>
      </w:r>
    </w:p>
    <w:p w14:paraId="1CF09B56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5583FAB2" w14:textId="77777777" w:rsidR="00EB4E29" w:rsidRPr="00EB4E29" w:rsidRDefault="00EB4E29" w:rsidP="00EB4E29">
      <w:pPr>
        <w:rPr>
          <w:rFonts w:ascii="Arial" w:hAnsi="Arial" w:cs="Arial"/>
          <w:color w:val="4472C4" w:themeColor="accent1"/>
          <w:sz w:val="28"/>
          <w:szCs w:val="28"/>
        </w:rPr>
      </w:pPr>
      <w:r w:rsidRPr="00EB4E29">
        <w:rPr>
          <w:rFonts w:ascii="Arial" w:hAnsi="Arial" w:cs="Arial"/>
          <w:color w:val="4472C4" w:themeColor="accent1"/>
          <w:sz w:val="28"/>
          <w:szCs w:val="28"/>
        </w:rPr>
        <w:t>4.2. Training and Communication:</w:t>
      </w:r>
    </w:p>
    <w:p w14:paraId="4335714E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1F5830F9" w14:textId="41DC3C71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All employees and stakeholders involved in change management will receive appropriate training on the ITIL Change Management Policy and associated procedures.</w:t>
      </w:r>
      <w:r w:rsidR="00F57008">
        <w:rPr>
          <w:rFonts w:ascii="Arial" w:hAnsi="Arial" w:cs="Arial"/>
          <w:sz w:val="28"/>
          <w:szCs w:val="28"/>
        </w:rPr>
        <w:t xml:space="preserve"> </w:t>
      </w:r>
      <w:r w:rsidRPr="00EB4E29">
        <w:rPr>
          <w:rFonts w:ascii="Arial" w:hAnsi="Arial" w:cs="Arial"/>
          <w:sz w:val="28"/>
          <w:szCs w:val="28"/>
        </w:rPr>
        <w:t>Regular communication and awareness initiatives will be conducted to reinforce the importance of adhering to the policy.</w:t>
      </w:r>
    </w:p>
    <w:p w14:paraId="155B713D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7013EE26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5.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Continual Improvement</w:t>
      </w:r>
    </w:p>
    <w:p w14:paraId="47A42276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ECAF00A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5.1. The ITIL Change Management Policy and procedures will be regularly reviewed to ensure they remain effective and aligned with the organization's objectives and industry best practices.</w:t>
      </w:r>
    </w:p>
    <w:p w14:paraId="4A67B468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780CE87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5.2. Feedback and lessons learned from the change management process will be considered for process improvement and enhancement.</w:t>
      </w:r>
    </w:p>
    <w:p w14:paraId="737FD53A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A23F727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6.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Compliance</w:t>
      </w:r>
    </w:p>
    <w:p w14:paraId="20CD47FF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E4FB748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6.1. All employees and stakeholders are expected to comply with this ITIL Change Management Policy and its associated procedures.</w:t>
      </w:r>
    </w:p>
    <w:p w14:paraId="53374775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ABD288D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lastRenderedPageBreak/>
        <w:t>6.2. Non-compliance may lead to appropriate actions, including corrective measures, disciplinary actions, or other consequences as defined by the organization's policies.</w:t>
      </w:r>
    </w:p>
    <w:p w14:paraId="15C962EC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69E4A5F7" w14:textId="77777777" w:rsid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7. </w:t>
      </w:r>
      <w:r w:rsidRPr="00EB4E29">
        <w:rPr>
          <w:rFonts w:ascii="Arial" w:hAnsi="Arial" w:cs="Arial"/>
          <w:b/>
          <w:bCs/>
          <w:color w:val="4472C4" w:themeColor="accent1"/>
          <w:sz w:val="32"/>
          <w:szCs w:val="32"/>
        </w:rPr>
        <w:t>Policy Review and Amendments</w:t>
      </w:r>
    </w:p>
    <w:p w14:paraId="03BFD159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0CEE3EC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7.1. This ITIL Change Management Policy will be reviewed at regular intervals to ensure its relevance and effectiveness.</w:t>
      </w:r>
    </w:p>
    <w:p w14:paraId="4C0AD576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56ABEC1A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7.2. Amendments to this policy will be approved by [appropriate authority or governing body] and communicated to all relevant stakeholders.</w:t>
      </w:r>
    </w:p>
    <w:p w14:paraId="1C8D924A" w14:textId="77777777" w:rsidR="00EB4E29" w:rsidRPr="00EB4E29" w:rsidRDefault="00EB4E29" w:rsidP="00EB4E2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7E31E97C" w14:textId="77777777" w:rsidR="005C4DE8" w:rsidRDefault="00EB4E29" w:rsidP="00EB4E29">
      <w:pPr>
        <w:rPr>
          <w:rFonts w:ascii="Arial" w:hAnsi="Arial" w:cs="Arial"/>
          <w:sz w:val="28"/>
          <w:szCs w:val="28"/>
        </w:rPr>
      </w:pPr>
      <w:r w:rsidRPr="00EB4E29">
        <w:rPr>
          <w:rFonts w:ascii="Arial" w:hAnsi="Arial" w:cs="Arial"/>
          <w:sz w:val="28"/>
          <w:szCs w:val="28"/>
        </w:rPr>
        <w:t>[Signature lines for key stakeholders, indicating their approval of the ITIL Change Management Policy]</w:t>
      </w:r>
    </w:p>
    <w:p w14:paraId="5BD73A9F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6AF0DA46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34F29A94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Date of Approval:</w:t>
      </w:r>
    </w:p>
    <w:p w14:paraId="5A20F003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3CA49189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10700492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__________________</w:t>
      </w:r>
    </w:p>
    <w:p w14:paraId="346C19AD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</w:p>
    <w:p w14:paraId="3221C403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5469697A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[Name and Title of Approving Authority]:</w:t>
      </w:r>
    </w:p>
    <w:p w14:paraId="6B00449C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045505F8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4CD2A0C8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__________________</w:t>
      </w:r>
    </w:p>
    <w:p w14:paraId="476F0082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08734BA1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</w:p>
    <w:p w14:paraId="4A290F24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[Names and Titles of Key Stakeholders]:</w:t>
      </w:r>
    </w:p>
    <w:p w14:paraId="2436C600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6456B362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6D2C9815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__________________</w:t>
      </w:r>
    </w:p>
    <w:p w14:paraId="62D34388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5DD29371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p w14:paraId="726F4A7D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32898197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p w14:paraId="603D5226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2B8562E8" w14:textId="77777777" w:rsidR="00EB4E29" w:rsidRPr="0056753E" w:rsidRDefault="00EB4E29" w:rsidP="00EB4E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p w14:paraId="373035B9" w14:textId="77777777" w:rsidR="00EB4E29" w:rsidRDefault="00EB4E29" w:rsidP="00EB4E29">
      <w:pPr>
        <w:rPr>
          <w:rFonts w:ascii="Arial" w:hAnsi="Arial" w:cs="Arial"/>
          <w:sz w:val="28"/>
          <w:szCs w:val="28"/>
        </w:rPr>
      </w:pPr>
    </w:p>
    <w:p w14:paraId="4F89D312" w14:textId="77777777" w:rsidR="00EB4E29" w:rsidRPr="00EB4E29" w:rsidRDefault="00EB4E29" w:rsidP="00EB4E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sectPr w:rsidR="00EB4E29" w:rsidRPr="00EB4E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F325" w14:textId="77777777" w:rsidR="007B622C" w:rsidRDefault="007B622C" w:rsidP="00EB4E29">
      <w:r>
        <w:separator/>
      </w:r>
    </w:p>
  </w:endnote>
  <w:endnote w:type="continuationSeparator" w:id="0">
    <w:p w14:paraId="5554BB77" w14:textId="77777777" w:rsidR="007B622C" w:rsidRDefault="007B622C" w:rsidP="00EB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9C5B" w14:textId="77777777" w:rsidR="00EB4E29" w:rsidRPr="00210756" w:rsidRDefault="00EB4E29" w:rsidP="00EB4E29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322B68D9" wp14:editId="466208B3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14:paraId="4DF722AE" w14:textId="77777777" w:rsidR="00EB4E29" w:rsidRDefault="00EB4E29" w:rsidP="00EB4E29">
    <w:pPr>
      <w:pStyle w:val="Footer"/>
    </w:pPr>
  </w:p>
  <w:p w14:paraId="1CFA3BF7" w14:textId="77777777" w:rsidR="00EB4E29" w:rsidRDefault="00EB4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5B38" w14:textId="77777777" w:rsidR="007B622C" w:rsidRDefault="007B622C" w:rsidP="00EB4E29">
      <w:r>
        <w:separator/>
      </w:r>
    </w:p>
  </w:footnote>
  <w:footnote w:type="continuationSeparator" w:id="0">
    <w:p w14:paraId="1A5498A6" w14:textId="77777777" w:rsidR="007B622C" w:rsidRDefault="007B622C" w:rsidP="00EB4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29"/>
    <w:rsid w:val="003A010D"/>
    <w:rsid w:val="003A3E1C"/>
    <w:rsid w:val="005C4DE8"/>
    <w:rsid w:val="00640C5B"/>
    <w:rsid w:val="007B622C"/>
    <w:rsid w:val="008A76C8"/>
    <w:rsid w:val="00A34716"/>
    <w:rsid w:val="00EB4E29"/>
    <w:rsid w:val="00F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71A7"/>
  <w15:chartTrackingRefBased/>
  <w15:docId w15:val="{CA0B15D5-E021-AA4F-B0DF-469AB5D0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E29"/>
  </w:style>
  <w:style w:type="paragraph" w:styleId="Footer">
    <w:name w:val="footer"/>
    <w:basedOn w:val="Normal"/>
    <w:link w:val="FooterChar"/>
    <w:uiPriority w:val="99"/>
    <w:unhideWhenUsed/>
    <w:rsid w:val="00EB4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Airiodion, Ogbe (Contractor)</cp:lastModifiedBy>
  <cp:revision>5</cp:revision>
  <dcterms:created xsi:type="dcterms:W3CDTF">2023-08-03T16:19:00Z</dcterms:created>
  <dcterms:modified xsi:type="dcterms:W3CDTF">2023-08-06T21:27:00Z</dcterms:modified>
</cp:coreProperties>
</file>