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2416A5DE">
            <wp:extent cx="2545080" cy="321606"/>
            <wp:effectExtent l="0" t="0" r="0" b="254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1EDEE430" w14:textId="26D4E005" w:rsidR="00C7029F" w:rsidRPr="00372B43" w:rsidRDefault="00C7029F" w:rsidP="00C7029F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2301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03974775" w14:textId="77777777" w:rsidR="00293911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1AA227E" w14:textId="36CBA46A" w:rsidR="002709BE" w:rsidRDefault="005F4E31" w:rsidP="002709BE">
      <w:pPr>
        <w:jc w:val="center"/>
        <w:rPr>
          <w:b/>
          <w:bCs/>
          <w:color w:val="074F6A" w:themeColor="accent4" w:themeShade="80"/>
          <w:sz w:val="56"/>
          <w:szCs w:val="56"/>
        </w:rPr>
      </w:pPr>
      <w:bookmarkStart w:id="1" w:name="_Hlk204579179"/>
      <w:r w:rsidRPr="005F4E31">
        <w:rPr>
          <w:b/>
          <w:bCs/>
          <w:color w:val="074F6A" w:themeColor="accent4" w:themeShade="80"/>
          <w:sz w:val="56"/>
          <w:szCs w:val="56"/>
        </w:rPr>
        <w:t>AI Communications Plan Checklist: Your Blueprint for Success</w:t>
      </w:r>
    </w:p>
    <w:bookmarkEnd w:id="1"/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0CC6E594" w14:textId="77777777" w:rsidR="00615961" w:rsidRDefault="00DF5A9B" w:rsidP="00DF5A9B">
      <w:pPr>
        <w:spacing w:after="200" w:line="276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4A0844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 xml:space="preserve">This comprehensive checklist is designed to help you develop and execute a robust AI communication plan, ensuring a smooth transition and enthusiastic adoption within your organization. </w:t>
      </w:r>
    </w:p>
    <w:p w14:paraId="624E0DE8" w14:textId="29506888" w:rsidR="00DF5A9B" w:rsidRPr="004A0844" w:rsidRDefault="00DF5A9B" w:rsidP="00DF5A9B">
      <w:pPr>
        <w:spacing w:after="200" w:line="276" w:lineRule="auto"/>
        <w:rPr>
          <w:rFonts w:ascii="Cambria" w:eastAsia="MS Mincho" w:hAnsi="Cambria" w:cs="Times New Roman"/>
          <w:kern w:val="0"/>
          <w:sz w:val="24"/>
          <w:szCs w:val="24"/>
          <w14:ligatures w14:val="none"/>
        </w:rPr>
      </w:pPr>
      <w:r w:rsidRPr="004A0844">
        <w:rPr>
          <w:rFonts w:ascii="Cambria" w:eastAsia="MS Mincho" w:hAnsi="Cambria" w:cs="Times New Roman"/>
          <w:kern w:val="0"/>
          <w:sz w:val="24"/>
          <w:szCs w:val="24"/>
          <w14:ligatures w14:val="none"/>
        </w:rPr>
        <w:t>Use it as your step-by-step guide to navigate every phase of your AI initiative, from initial strategy to ongoing support.</w:t>
      </w:r>
    </w:p>
    <w:p w14:paraId="5D90CFA2" w14:textId="77777777" w:rsidR="00615961" w:rsidRDefault="00615961" w:rsidP="00DF5A9B">
      <w:pPr>
        <w:spacing w:after="200" w:line="276" w:lineRule="auto"/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</w:pPr>
    </w:p>
    <w:p w14:paraId="67785E89" w14:textId="45620CC6" w:rsidR="00DF5A9B" w:rsidRPr="004A0844" w:rsidRDefault="00DF5A9B" w:rsidP="00DF5A9B">
      <w:pPr>
        <w:spacing w:after="200" w:line="276" w:lineRule="auto"/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  <w:t>Phase 1: Pre-Planning &amp; Strategy (Laying the Foundation)</w:t>
      </w:r>
    </w:p>
    <w:p w14:paraId="0FCFA522" w14:textId="77777777" w:rsidR="00DF5A9B" w:rsidRPr="00DF5A9B" w:rsidRDefault="00DF5A9B" w:rsidP="004A0844">
      <w:pPr>
        <w:numPr>
          <w:ilvl w:val="0"/>
          <w:numId w:val="22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DF5A9B">
        <w:rPr>
          <w:rFonts w:ascii="Cambria" w:eastAsia="MS Mincho" w:hAnsi="Cambria" w:cs="Times New Roman"/>
          <w:b/>
          <w:bCs/>
          <w:kern w:val="0"/>
          <w14:ligatures w14:val="none"/>
        </w:rPr>
        <w:t>Define AI Initiative Goals:</w:t>
      </w:r>
    </w:p>
    <w:p w14:paraId="2BFECA64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 xml:space="preserve">Clearly articulate the strategic objectives of </w:t>
      </w:r>
      <w:proofErr w:type="gramStart"/>
      <w:r w:rsidRPr="004A0844">
        <w:rPr>
          <w:rFonts w:ascii="Cambria" w:eastAsia="MS Mincho" w:hAnsi="Cambria" w:cs="Times New Roman"/>
          <w:kern w:val="0"/>
          <w14:ligatures w14:val="none"/>
        </w:rPr>
        <w:t>the AI</w:t>
      </w:r>
      <w:proofErr w:type="gramEnd"/>
      <w:r w:rsidRPr="004A0844">
        <w:rPr>
          <w:rFonts w:ascii="Cambria" w:eastAsia="MS Mincho" w:hAnsi="Cambria" w:cs="Times New Roman"/>
          <w:kern w:val="0"/>
          <w14:ligatures w14:val="none"/>
        </w:rPr>
        <w:t xml:space="preserve"> implementation (e.g., improve efficiency, enhance customer experience, foster innovation).</w:t>
      </w:r>
    </w:p>
    <w:p w14:paraId="68A72B47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Identify the specific AI tools or systems being introduced.</w:t>
      </w:r>
    </w:p>
    <w:p w14:paraId="70343189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Identify Key Stakeholders:</w:t>
      </w:r>
    </w:p>
    <w:p w14:paraId="1D5D4072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List all groups impacted by the AI (e.g., leadership, specific departments, individual roles, IT, HR).</w:t>
      </w:r>
    </w:p>
    <w:p w14:paraId="1D7E09A4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Understand their current level of AI literacy and potential concerns/enthusiasm.</w:t>
      </w:r>
    </w:p>
    <w:p w14:paraId="0744A336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Assess Current Perceptions &amp; Fears:</w:t>
      </w:r>
    </w:p>
    <w:p w14:paraId="6F35FECB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proofErr w:type="gramStart"/>
      <w:r w:rsidRPr="004A0844">
        <w:rPr>
          <w:rFonts w:ascii="Cambria" w:eastAsia="MS Mincho" w:hAnsi="Cambria" w:cs="Times New Roman"/>
          <w:kern w:val="0"/>
          <w14:ligatures w14:val="none"/>
        </w:rPr>
        <w:t>Conduct</w:t>
      </w:r>
      <w:proofErr w:type="gramEnd"/>
      <w:r w:rsidRPr="004A0844">
        <w:rPr>
          <w:rFonts w:ascii="Cambria" w:eastAsia="MS Mincho" w:hAnsi="Cambria" w:cs="Times New Roman"/>
          <w:kern w:val="0"/>
          <w14:ligatures w14:val="none"/>
        </w:rPr>
        <w:t xml:space="preserve"> surveys, focus groups, or informal interviews to gauge employee attitudes towards AI (e.g., job security, learning curve, ethical concerns).</w:t>
      </w:r>
    </w:p>
    <w:p w14:paraId="057CAA16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Identify common misconceptions that need to be addressed.</w:t>
      </w:r>
    </w:p>
    <w:p w14:paraId="1A95B6AE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Craft Core Messaging &amp; Value Proposition:</w:t>
      </w:r>
    </w:p>
    <w:p w14:paraId="7C8DFCE3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 xml:space="preserve">Develop a consistent, compelling narrative about </w:t>
      </w:r>
      <w:r w:rsidRPr="004A0844">
        <w:rPr>
          <w:rFonts w:ascii="Cambria" w:eastAsia="MS Mincho" w:hAnsi="Cambria" w:cs="Times New Roman"/>
          <w:i/>
          <w:iCs/>
          <w:kern w:val="0"/>
          <w14:ligatures w14:val="none"/>
        </w:rPr>
        <w:t>why</w:t>
      </w:r>
      <w:r w:rsidRPr="004A0844">
        <w:rPr>
          <w:rFonts w:ascii="Cambria" w:eastAsia="MS Mincho" w:hAnsi="Cambria" w:cs="Times New Roman"/>
          <w:kern w:val="0"/>
          <w14:ligatures w14:val="none"/>
        </w:rPr>
        <w:t xml:space="preserve"> AI is being introduced and </w:t>
      </w:r>
      <w:r w:rsidRPr="004A0844">
        <w:rPr>
          <w:rFonts w:ascii="Cambria" w:eastAsia="MS Mincho" w:hAnsi="Cambria" w:cs="Times New Roman"/>
          <w:i/>
          <w:iCs/>
          <w:kern w:val="0"/>
          <w14:ligatures w14:val="none"/>
        </w:rPr>
        <w:t>how</w:t>
      </w:r>
      <w:r w:rsidRPr="004A0844">
        <w:rPr>
          <w:rFonts w:ascii="Cambria" w:eastAsia="MS Mincho" w:hAnsi="Cambria" w:cs="Times New Roman"/>
          <w:kern w:val="0"/>
          <w14:ligatures w14:val="none"/>
        </w:rPr>
        <w:t xml:space="preserve"> it benefits the organization and individual employees.</w:t>
      </w:r>
    </w:p>
    <w:p w14:paraId="6E2B7BD6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Translate technical benefits into clear, human-centric outcomes (e.g., "save 2 hours a week on reporting," "get faster customer insights").</w:t>
      </w:r>
    </w:p>
    <w:p w14:paraId="153AA5D3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Ensure messages align with company values and strategic goals.</w:t>
      </w:r>
    </w:p>
    <w:p w14:paraId="05F8447B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Establish Communication Team &amp; Roles:</w:t>
      </w:r>
    </w:p>
    <w:p w14:paraId="2067D856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Designate a core communication team responsible for planning, drafting, and disseminating messages.</w:t>
      </w:r>
    </w:p>
    <w:p w14:paraId="4AE310D1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Define roles (e.g., content creator, channel manager, feedback monitor, leadership liaison).</w:t>
      </w:r>
    </w:p>
    <w:p w14:paraId="0408F6E6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lastRenderedPageBreak/>
        <w:t>Determine Communication Channels:</w:t>
      </w:r>
    </w:p>
    <w:p w14:paraId="66F48847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Identify primary channels for different types of messages (e.g., intranet, email, town halls, team meetings, internal chat platforms, dedicated AI hub).</w:t>
      </w:r>
    </w:p>
    <w:p w14:paraId="4E1D0ADF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Consider which channels are best for broad announcements vs. detailed information vs. interactive discussions.</w:t>
      </w:r>
    </w:p>
    <w:p w14:paraId="4B36E940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Set Communication Timeline:</w:t>
      </w:r>
    </w:p>
    <w:p w14:paraId="149F06BB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Map out key communication milestones aligned with the AI project timeline (e.g., awareness, pre-launch, launch, post-launch, ongoing).</w:t>
      </w:r>
    </w:p>
    <w:p w14:paraId="4FAF2802" w14:textId="77777777" w:rsidR="00615961" w:rsidRDefault="00615961" w:rsidP="004A0844">
      <w:pPr>
        <w:spacing w:after="200" w:line="276" w:lineRule="auto"/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</w:pPr>
    </w:p>
    <w:p w14:paraId="33D1FC8A" w14:textId="177A738A" w:rsidR="00DF5A9B" w:rsidRPr="004A0844" w:rsidRDefault="00DF5A9B" w:rsidP="004A0844">
      <w:pPr>
        <w:spacing w:after="200" w:line="276" w:lineRule="auto"/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  <w:t>Phase 2: Pre-Launch Communication (Building Awareness &amp; Readiness)</w:t>
      </w:r>
    </w:p>
    <w:p w14:paraId="19D21459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Initial Awareness Campaign:</w:t>
      </w:r>
    </w:p>
    <w:p w14:paraId="2B63687C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Issue a high-level announcement from leadership introducing the concept of AI integration and its strategic importance.</w:t>
      </w:r>
    </w:p>
    <w:p w14:paraId="1FAC21D5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Share general information about AI and its potential benefits (without going into specific tools yet).</w:t>
      </w:r>
    </w:p>
    <w:p w14:paraId="299AB87B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"Sneak Peek" &amp; Vision Sharing:</w:t>
      </w:r>
    </w:p>
    <w:p w14:paraId="2FA400D4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 xml:space="preserve">Host optional "lunch and learn" sessions or webinars showcasing the </w:t>
      </w:r>
      <w:r w:rsidRPr="004A0844">
        <w:rPr>
          <w:rFonts w:ascii="Cambria" w:eastAsia="MS Mincho" w:hAnsi="Cambria" w:cs="Times New Roman"/>
          <w:i/>
          <w:iCs/>
          <w:kern w:val="0"/>
          <w14:ligatures w14:val="none"/>
        </w:rPr>
        <w:t>vision</w:t>
      </w:r>
      <w:r w:rsidRPr="004A0844">
        <w:rPr>
          <w:rFonts w:ascii="Cambria" w:eastAsia="MS Mincho" w:hAnsi="Cambria" w:cs="Times New Roman"/>
          <w:kern w:val="0"/>
          <w14:ligatures w14:val="none"/>
        </w:rPr>
        <w:t xml:space="preserve"> of AI at work, using general examples or early pilot successes.</w:t>
      </w:r>
    </w:p>
    <w:p w14:paraId="41C09D0E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Share inspiring stories or case studies of AI augmenting human work (internal or external).</w:t>
      </w:r>
    </w:p>
    <w:p w14:paraId="15560C56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Develop Comprehensive FAQs:</w:t>
      </w:r>
    </w:p>
    <w:p w14:paraId="21240873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Create a living document of anticipated questions and clear, concise answers, covering common concerns (job security, required skills, data privacy).</w:t>
      </w:r>
    </w:p>
    <w:p w14:paraId="7E64E902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Make this easily accessible on your internal AI hub.</w:t>
      </w:r>
    </w:p>
    <w:p w14:paraId="004BEBA4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proofErr w:type="gramStart"/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Identify</w:t>
      </w:r>
      <w:proofErr w:type="gramEnd"/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 xml:space="preserve"> &amp; Train AI Champions:</w:t>
      </w:r>
    </w:p>
    <w:p w14:paraId="7B9B9411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Select influential and enthusiastic employees from various departments to act as internal advocates.</w:t>
      </w:r>
    </w:p>
    <w:p w14:paraId="1A8C57CD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Provide them with in-depth knowledge, talking points, and answers to common questions.</w:t>
      </w:r>
    </w:p>
    <w:p w14:paraId="15110C7F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Encourage them to share their positive experiences and offer peer-to-peer support.</w:t>
      </w:r>
    </w:p>
    <w:p w14:paraId="4A192061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Manager Briefings &amp; Toolkits:</w:t>
      </w:r>
    </w:p>
    <w:p w14:paraId="40FC0493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Conduct dedicated sessions for managers, providing them with all pre-launch messaging, FAQs, and guidance on how to discuss AI with their teams.</w:t>
      </w:r>
    </w:p>
    <w:p w14:paraId="1F48655A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Equip them with a "manager toolkit" including discussion prompts, presentation slides, and relevant resources.</w:t>
      </w:r>
    </w:p>
    <w:p w14:paraId="37650164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Address Concerns Proactively:</w:t>
      </w:r>
    </w:p>
    <w:p w14:paraId="38F32F0C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Host open forums or "Ask Me Anything" sessions with leadership and project teams to address employee fears and misconceptions head-on.</w:t>
      </w:r>
    </w:p>
    <w:p w14:paraId="6460B167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Clearly communicate plans for reskilling, upskilling, or role evolution if applicable.</w:t>
      </w:r>
    </w:p>
    <w:p w14:paraId="6C82B8A6" w14:textId="10F1DEBB" w:rsidR="00DF5A9B" w:rsidRPr="004A0844" w:rsidRDefault="00DF5A9B" w:rsidP="004A0844">
      <w:pPr>
        <w:spacing w:after="200" w:line="276" w:lineRule="auto"/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  <w:t>Phase 3: Launch Phase Communication (Making it Happen)</w:t>
      </w:r>
    </w:p>
    <w:p w14:paraId="6DF29849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Official Launch Announcement:</w:t>
      </w:r>
    </w:p>
    <w:p w14:paraId="0EC91C96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Send a company-wide email or video message from a senior leader on launch day, officially announcing the availability of the AI tool.</w:t>
      </w:r>
    </w:p>
    <w:p w14:paraId="545A67E7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 xml:space="preserve">Reiterate </w:t>
      </w:r>
      <w:proofErr w:type="gramStart"/>
      <w:r w:rsidRPr="004A0844">
        <w:rPr>
          <w:rFonts w:ascii="Cambria" w:eastAsia="MS Mincho" w:hAnsi="Cambria" w:cs="Times New Roman"/>
          <w:kern w:val="0"/>
          <w14:ligatures w14:val="none"/>
        </w:rPr>
        <w:t>key</w:t>
      </w:r>
      <w:proofErr w:type="gramEnd"/>
      <w:r w:rsidRPr="004A0844">
        <w:rPr>
          <w:rFonts w:ascii="Cambria" w:eastAsia="MS Mincho" w:hAnsi="Cambria" w:cs="Times New Roman"/>
          <w:kern w:val="0"/>
          <w14:ligatures w14:val="none"/>
        </w:rPr>
        <w:t xml:space="preserve"> benefits and the strategic importance of the launch.</w:t>
      </w:r>
    </w:p>
    <w:p w14:paraId="2B50F8B6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Multi-Channel Blitz:</w:t>
      </w:r>
    </w:p>
    <w:p w14:paraId="5C623841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lastRenderedPageBreak/>
        <w:t>Deploy banners, pop-ups, and news items on your intranet.</w:t>
      </w:r>
    </w:p>
    <w:p w14:paraId="3F150329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Post updates on internal chat platforms.</w:t>
      </w:r>
    </w:p>
    <w:p w14:paraId="242704CD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Share short, engaging videos demonstrating the AI tool's core functions.</w:t>
      </w:r>
    </w:p>
    <w:p w14:paraId="07EFFC33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Live Demos &amp; Interactive Sessions:</w:t>
      </w:r>
    </w:p>
    <w:p w14:paraId="1CAAEE32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Host interactive virtual or in-person demonstrations where employees can see the AI in action and ask live questions.</w:t>
      </w:r>
    </w:p>
    <w:p w14:paraId="6480BA72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Record these sessions for those unable to attend.</w:t>
      </w:r>
    </w:p>
    <w:p w14:paraId="397D8FCA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"Get Started" Guides &amp; Direct Access:</w:t>
      </w:r>
    </w:p>
    <w:p w14:paraId="21021333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Provide clear, step-by-step guides for employees to begin using the AI tool.</w:t>
      </w:r>
    </w:p>
    <w:p w14:paraId="67A744B2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Include direct, easy-to-find links to the AI platform or application in all communications.</w:t>
      </w:r>
    </w:p>
    <w:p w14:paraId="17035136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"What You Can Do Today" Message:</w:t>
      </w:r>
    </w:p>
    <w:p w14:paraId="754F3159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On launch day, send a concise message outlining 1-3 very easy, low-risk tasks for employees to try with the new AI tool.</w:t>
      </w:r>
    </w:p>
    <w:p w14:paraId="7A250E07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Standardized Messaging (Templates):</w:t>
      </w:r>
    </w:p>
    <w:p w14:paraId="7A98158E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 xml:space="preserve">Utilize an </w:t>
      </w: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AI project communication template</w:t>
      </w:r>
      <w:r w:rsidRPr="004A0844">
        <w:rPr>
          <w:rFonts w:ascii="Cambria" w:eastAsia="MS Mincho" w:hAnsi="Cambria" w:cs="Times New Roman"/>
          <w:kern w:val="0"/>
          <w14:ligatures w14:val="none"/>
        </w:rPr>
        <w:t xml:space="preserve"> to ensure consistent messaging across all departments and internal communications.</w:t>
      </w:r>
    </w:p>
    <w:p w14:paraId="377FE1E5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Ensure all support channels (IT, HR, dedicated AI support) are aligned on messaging.</w:t>
      </w:r>
    </w:p>
    <w:p w14:paraId="4009EB07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Highlight Immediate Benefits:</w:t>
      </w:r>
    </w:p>
    <w:p w14:paraId="578A4767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Focus on specific, tangible benefits that employees will experience immediately (e.g., "summarize emails in seconds," "automate report generation").</w:t>
      </w:r>
    </w:p>
    <w:p w14:paraId="1D874C3C" w14:textId="77777777" w:rsidR="00615961" w:rsidRDefault="00615961" w:rsidP="004A0844">
      <w:pPr>
        <w:spacing w:after="200" w:line="276" w:lineRule="auto"/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</w:pPr>
    </w:p>
    <w:p w14:paraId="6EE22EC7" w14:textId="0D9EBB62" w:rsidR="00DF5A9B" w:rsidRPr="004A0844" w:rsidRDefault="00DF5A9B" w:rsidP="004A0844">
      <w:pPr>
        <w:spacing w:after="200" w:line="276" w:lineRule="auto"/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  <w:t>Phase 4: Post-Launch &amp; Ongoing Communication (Sustaining Momentum)</w:t>
      </w:r>
    </w:p>
    <w:p w14:paraId="76298BDD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Ongoing Support &amp; Training:</w:t>
      </w:r>
    </w:p>
    <w:p w14:paraId="32E79BFD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Continuously offer training sessions (beginner to advanced) based on user feedback and evolving needs.</w:t>
      </w:r>
    </w:p>
    <w:p w14:paraId="7A5818BD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Maintain and update the internal AI hub with new resources, tips, and FAQs.</w:t>
      </w:r>
    </w:p>
    <w:p w14:paraId="20BA1714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Success Stories &amp; Testimonials:</w:t>
      </w:r>
    </w:p>
    <w:p w14:paraId="1E141D07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Actively collect and share internal success stories, testimonials, and "pro tips" from employees using the AI tool effectively.</w:t>
      </w:r>
    </w:p>
    <w:p w14:paraId="04AA6951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Highlight how AI is augmenting roles and creating new efficiencies.</w:t>
      </w:r>
    </w:p>
    <w:p w14:paraId="1896FEC0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Feedback Mechanisms:</w:t>
      </w:r>
    </w:p>
    <w:p w14:paraId="73B7D9AC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Establish clear channels for employees to provide feedback, ask questions, and report issues (e.g., dedicated email, feedback forms, community forums).</w:t>
      </w:r>
    </w:p>
    <w:p w14:paraId="6F269816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Regularly review and act on this feedback.</w:t>
      </w:r>
    </w:p>
    <w:p w14:paraId="36A586E5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Updates &amp; Enhancements:</w:t>
      </w:r>
    </w:p>
    <w:p w14:paraId="0734BF42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Communicate regularly about new features, updates, and improvements to the AI tool.</w:t>
      </w:r>
    </w:p>
    <w:p w14:paraId="0D9A0612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Explain how these enhancements further benefit employees and the organization.</w:t>
      </w:r>
    </w:p>
    <w:p w14:paraId="68E791C4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Reinforce Strategic Vision:</w:t>
      </w:r>
    </w:p>
    <w:p w14:paraId="16CFF302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Periodically remind employees of the broader strategic goals of AI adoption and how their contributions are part of that vision.</w:t>
      </w:r>
    </w:p>
    <w:p w14:paraId="42AA4F4B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Share insights on the evolving role of AI in the industry and its impact on the company's future.</w:t>
      </w:r>
    </w:p>
    <w:p w14:paraId="74247F1A" w14:textId="77777777" w:rsidR="00615961" w:rsidRDefault="00615961" w:rsidP="004A0844">
      <w:pPr>
        <w:spacing w:after="200" w:line="276" w:lineRule="auto"/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</w:pPr>
    </w:p>
    <w:p w14:paraId="1AB0D999" w14:textId="6A846506" w:rsidR="00DF5A9B" w:rsidRPr="004A0844" w:rsidRDefault="00DF5A9B" w:rsidP="004A0844">
      <w:pPr>
        <w:spacing w:after="200" w:line="276" w:lineRule="auto"/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color w:val="074F6A" w:themeColor="accent4" w:themeShade="80"/>
          <w:kern w:val="0"/>
          <w:sz w:val="28"/>
          <w:szCs w:val="28"/>
          <w14:ligatures w14:val="none"/>
        </w:rPr>
        <w:lastRenderedPageBreak/>
        <w:t>Phase 5: Measurement &amp; Feedback (Continuous Improvement)</w:t>
      </w:r>
    </w:p>
    <w:p w14:paraId="0D9884E6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Track Engagement Metrics:</w:t>
      </w:r>
    </w:p>
    <w:p w14:paraId="2F2F1584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Monitor open rates and click-through rates on communication emails.</w:t>
      </w:r>
    </w:p>
    <w:p w14:paraId="3C593801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Track visits to the internal AI hub and resource pages.</w:t>
      </w:r>
    </w:p>
    <w:p w14:paraId="45C64A0A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Measure participation in training sessions and live demos.</w:t>
      </w:r>
    </w:p>
    <w:p w14:paraId="63134D01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proofErr w:type="gramStart"/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Gather Employee</w:t>
      </w:r>
      <w:proofErr w:type="gramEnd"/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 xml:space="preserve"> Feedback:</w:t>
      </w:r>
    </w:p>
    <w:p w14:paraId="767E045D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Conduct post-launch surveys to assess understanding, satisfaction, and areas for improvement in communication and adoption.</w:t>
      </w:r>
    </w:p>
    <w:p w14:paraId="5B7A5E4B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Facilitate regular feedback sessions with managers and AI champions.</w:t>
      </w:r>
    </w:p>
    <w:p w14:paraId="00803C7D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Monitor AI Tool Adoption &amp; Usage:</w:t>
      </w:r>
    </w:p>
    <w:p w14:paraId="529D47B3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Track the actual usage rates of the AI tool across different departments and roles.</w:t>
      </w:r>
    </w:p>
    <w:p w14:paraId="76D47205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Identify areas of high adoption and areas needing more support.</w:t>
      </w:r>
    </w:p>
    <w:p w14:paraId="4F2726DF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Evaluate Communication Effectiveness:</w:t>
      </w:r>
    </w:p>
    <w:p w14:paraId="2C0B18FF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Assess whether key messages are being understood and retained by employees.</w:t>
      </w:r>
    </w:p>
    <w:p w14:paraId="40CABC43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Determine if communication efforts are contributing to desired mindset shifts and behavior changes.</w:t>
      </w:r>
    </w:p>
    <w:p w14:paraId="3CA53713" w14:textId="77777777" w:rsidR="00DF5A9B" w:rsidRPr="004A0844" w:rsidRDefault="00DF5A9B" w:rsidP="004A0844">
      <w:pPr>
        <w:pStyle w:val="ListParagraph"/>
        <w:numPr>
          <w:ilvl w:val="0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b/>
          <w:bCs/>
          <w:kern w:val="0"/>
          <w14:ligatures w14:val="none"/>
        </w:rPr>
        <w:t>Iterate &amp; Refine:</w:t>
      </w:r>
    </w:p>
    <w:p w14:paraId="293E9A7D" w14:textId="77777777" w:rsidR="00DF5A9B" w:rsidRPr="004A0844" w:rsidRDefault="00DF5A9B" w:rsidP="004A0844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Use all gathered data and feedback to continuously refine your AI communication strategy and future implementation plans.</w:t>
      </w:r>
    </w:p>
    <w:p w14:paraId="54597C0D" w14:textId="6742269D" w:rsidR="000A6500" w:rsidRPr="004A0844" w:rsidRDefault="00DF5A9B" w:rsidP="000A6500">
      <w:pPr>
        <w:pStyle w:val="ListParagraph"/>
        <w:numPr>
          <w:ilvl w:val="1"/>
          <w:numId w:val="24"/>
        </w:numPr>
        <w:spacing w:after="200" w:line="276" w:lineRule="auto"/>
        <w:rPr>
          <w:rFonts w:ascii="Cambria" w:eastAsia="MS Mincho" w:hAnsi="Cambria" w:cs="Times New Roman"/>
          <w:kern w:val="0"/>
          <w14:ligatures w14:val="none"/>
        </w:rPr>
      </w:pPr>
      <w:r w:rsidRPr="004A0844">
        <w:rPr>
          <w:rFonts w:ascii="Cambria" w:eastAsia="MS Mincho" w:hAnsi="Cambria" w:cs="Times New Roman"/>
          <w:kern w:val="0"/>
          <w14:ligatures w14:val="none"/>
        </w:rPr>
        <w:t>Adapt messages, channels, and timing based on what's working and what needs improvement.</w:t>
      </w:r>
    </w:p>
    <w:p w14:paraId="25A675A4" w14:textId="77777777" w:rsidR="005465F9" w:rsidRDefault="00000000" w:rsidP="0002148C">
      <w:pPr>
        <w:jc w:val="center"/>
        <w:rPr>
          <w:sz w:val="32"/>
          <w:szCs w:val="32"/>
        </w:rPr>
      </w:pPr>
      <w:r>
        <w:pict w14:anchorId="5D7C35DB">
          <v:rect id="_x0000_i1028" style="width:0;height:1.5pt" o:hralign="center" o:bullet="t" o:hrstd="t" o:hr="t" fillcolor="#a0a0a0" stroked="f"/>
        </w:pict>
      </w:r>
      <w:r w:rsidR="0002148C" w:rsidRPr="000A6500">
        <w:rPr>
          <w:sz w:val="32"/>
          <w:szCs w:val="32"/>
        </w:rPr>
        <w:t xml:space="preserve">View our website for more helpful guides: </w:t>
      </w:r>
    </w:p>
    <w:p w14:paraId="526D75C9" w14:textId="6F71BE23" w:rsidR="005465F9" w:rsidRPr="005465F9" w:rsidRDefault="005465F9" w:rsidP="0002148C">
      <w:pPr>
        <w:jc w:val="center"/>
        <w:rPr>
          <w:sz w:val="32"/>
          <w:szCs w:val="32"/>
        </w:rPr>
      </w:pPr>
      <w:hyperlink r:id="rId6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7EBE01A1" w14:textId="60036F6D" w:rsidR="0002148C" w:rsidRPr="000A6500" w:rsidRDefault="0002148C" w:rsidP="0002148C">
      <w:pPr>
        <w:jc w:val="center"/>
        <w:rPr>
          <w:sz w:val="32"/>
          <w:szCs w:val="32"/>
        </w:rPr>
      </w:pPr>
      <w:hyperlink r:id="rId7" w:history="1"/>
      <w:r w:rsidR="00000000">
        <w:pict w14:anchorId="62F5B291">
          <v:rect id="_x0000_i1029" style="width:0;height:1.5pt" o:hralign="center" o:hrstd="t" o:hr="t" fillcolor="#a0a0a0" stroked="f"/>
        </w:pict>
      </w:r>
    </w:p>
    <w:sectPr w:rsidR="0002148C" w:rsidRPr="000A6500" w:rsidSect="00615961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46" style="width:0;height:1.5pt" o:hralign="center" o:bullet="t" o:hrstd="t" o:hr="t" fillcolor="#a0a0a0" stroked="f"/>
    </w:pict>
  </w:numPicBullet>
  <w:abstractNum w:abstractNumId="0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C63484"/>
    <w:multiLevelType w:val="hybridMultilevel"/>
    <w:tmpl w:val="CBB0B520"/>
    <w:lvl w:ilvl="0" w:tplc="8D6E437C">
      <w:start w:val="1"/>
      <w:numFmt w:val="bullet"/>
      <w:lvlText w:val="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61248"/>
    <w:multiLevelType w:val="multilevel"/>
    <w:tmpl w:val="019A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360E3D"/>
    <w:multiLevelType w:val="hybridMultilevel"/>
    <w:tmpl w:val="DEBEAEB4"/>
    <w:lvl w:ilvl="0" w:tplc="964A28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3A2128"/>
    <w:multiLevelType w:val="hybridMultilevel"/>
    <w:tmpl w:val="79A04A4E"/>
    <w:lvl w:ilvl="0" w:tplc="D116EB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451871"/>
    <w:multiLevelType w:val="multilevel"/>
    <w:tmpl w:val="DF30C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B1029D"/>
    <w:multiLevelType w:val="hybridMultilevel"/>
    <w:tmpl w:val="C3B22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D0EF9"/>
    <w:multiLevelType w:val="hybridMultilevel"/>
    <w:tmpl w:val="26423FDE"/>
    <w:lvl w:ilvl="0" w:tplc="D116EB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96555D"/>
    <w:multiLevelType w:val="hybridMultilevel"/>
    <w:tmpl w:val="50E83B92"/>
    <w:lvl w:ilvl="0" w:tplc="964A280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AF6063"/>
    <w:multiLevelType w:val="multilevel"/>
    <w:tmpl w:val="0146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4B3B3C"/>
    <w:multiLevelType w:val="hybridMultilevel"/>
    <w:tmpl w:val="7FB4A608"/>
    <w:lvl w:ilvl="0" w:tplc="D116EB6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0F2EE5"/>
    <w:multiLevelType w:val="multilevel"/>
    <w:tmpl w:val="6C5C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5355BFF"/>
    <w:multiLevelType w:val="multilevel"/>
    <w:tmpl w:val="1630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21"/>
  </w:num>
  <w:num w:numId="2" w16cid:durableId="1084032365">
    <w:abstractNumId w:val="2"/>
  </w:num>
  <w:num w:numId="3" w16cid:durableId="1213806683">
    <w:abstractNumId w:val="18"/>
  </w:num>
  <w:num w:numId="4" w16cid:durableId="1172917730">
    <w:abstractNumId w:val="11"/>
  </w:num>
  <w:num w:numId="5" w16cid:durableId="110130525">
    <w:abstractNumId w:val="7"/>
  </w:num>
  <w:num w:numId="6" w16cid:durableId="1543709641">
    <w:abstractNumId w:val="17"/>
  </w:num>
  <w:num w:numId="7" w16cid:durableId="98138955">
    <w:abstractNumId w:val="0"/>
  </w:num>
  <w:num w:numId="8" w16cid:durableId="461463887">
    <w:abstractNumId w:val="16"/>
  </w:num>
  <w:num w:numId="9" w16cid:durableId="456029052">
    <w:abstractNumId w:val="20"/>
  </w:num>
  <w:num w:numId="10" w16cid:durableId="1410080464">
    <w:abstractNumId w:val="3"/>
  </w:num>
  <w:num w:numId="11" w16cid:durableId="1020624332">
    <w:abstractNumId w:val="13"/>
  </w:num>
  <w:num w:numId="12" w16cid:durableId="570192608">
    <w:abstractNumId w:val="12"/>
  </w:num>
  <w:num w:numId="13" w16cid:durableId="974989633">
    <w:abstractNumId w:val="23"/>
  </w:num>
  <w:num w:numId="14" w16cid:durableId="371805251">
    <w:abstractNumId w:val="15"/>
  </w:num>
  <w:num w:numId="15" w16cid:durableId="837697307">
    <w:abstractNumId w:val="22"/>
  </w:num>
  <w:num w:numId="16" w16cid:durableId="205534168">
    <w:abstractNumId w:val="4"/>
  </w:num>
  <w:num w:numId="17" w16cid:durableId="333996532">
    <w:abstractNumId w:val="8"/>
  </w:num>
  <w:num w:numId="18" w16cid:durableId="248271298">
    <w:abstractNumId w:val="14"/>
  </w:num>
  <w:num w:numId="19" w16cid:durableId="1650747619">
    <w:abstractNumId w:val="5"/>
  </w:num>
  <w:num w:numId="20" w16cid:durableId="526715528">
    <w:abstractNumId w:val="9"/>
  </w:num>
  <w:num w:numId="21" w16cid:durableId="632560074">
    <w:abstractNumId w:val="1"/>
  </w:num>
  <w:num w:numId="22" w16cid:durableId="834221964">
    <w:abstractNumId w:val="6"/>
  </w:num>
  <w:num w:numId="23" w16cid:durableId="1287158873">
    <w:abstractNumId w:val="10"/>
  </w:num>
  <w:num w:numId="24" w16cid:durableId="134520559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0C775F"/>
    <w:rsid w:val="001E68B4"/>
    <w:rsid w:val="00260C0C"/>
    <w:rsid w:val="002709BE"/>
    <w:rsid w:val="00293911"/>
    <w:rsid w:val="00324A2A"/>
    <w:rsid w:val="00364FCF"/>
    <w:rsid w:val="004135F5"/>
    <w:rsid w:val="004A0844"/>
    <w:rsid w:val="004C4822"/>
    <w:rsid w:val="005465F9"/>
    <w:rsid w:val="005B0450"/>
    <w:rsid w:val="005F4E31"/>
    <w:rsid w:val="00615961"/>
    <w:rsid w:val="00755C62"/>
    <w:rsid w:val="00835733"/>
    <w:rsid w:val="00851FD2"/>
    <w:rsid w:val="0086313B"/>
    <w:rsid w:val="008E4049"/>
    <w:rsid w:val="00A979BF"/>
    <w:rsid w:val="00AE35D3"/>
    <w:rsid w:val="00C23013"/>
    <w:rsid w:val="00C7029F"/>
    <w:rsid w:val="00C9648C"/>
    <w:rsid w:val="00CE2172"/>
    <w:rsid w:val="00DF5A9B"/>
    <w:rsid w:val="00E13AFA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1182</Words>
  <Characters>6739</Characters>
  <Application>Microsoft Office Word</Application>
  <DocSecurity>0</DocSecurity>
  <Lines>56</Lines>
  <Paragraphs>15</Paragraphs>
  <ScaleCrop>false</ScaleCrop>
  <Company/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14</cp:revision>
  <dcterms:created xsi:type="dcterms:W3CDTF">2025-06-10T19:02:00Z</dcterms:created>
  <dcterms:modified xsi:type="dcterms:W3CDTF">2025-07-29T16:45:00Z</dcterms:modified>
</cp:coreProperties>
</file>