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645C3055" w:rsidR="002709BE" w:rsidRDefault="00B72E0A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 w:rsidRPr="00B72E0A">
        <w:rPr>
          <w:b/>
          <w:bCs/>
          <w:color w:val="074F6A" w:themeColor="accent4" w:themeShade="80"/>
          <w:sz w:val="56"/>
          <w:szCs w:val="56"/>
        </w:rPr>
        <w:t>Checklist for Managing Multiple Overlapping Change Initiatives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68E86B6F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This checklist is designed to help organizations, teams, and change managers effectively manage multiple overlapping change initiatives (also called concurrent change programs or simultaneous transformation efforts). Use this step-by-step guide to ensure alignment, reduce risks, and improve adoption outcomes.</w:t>
      </w:r>
    </w:p>
    <w:p w14:paraId="376E7D8E" w14:textId="77777777" w:rsidR="00B72E0A" w:rsidRPr="00B72E0A" w:rsidRDefault="00B72E0A" w:rsidP="00B72E0A">
      <w:pPr>
        <w:pStyle w:val="Heading2"/>
        <w:rPr>
          <w:sz w:val="40"/>
          <w:szCs w:val="40"/>
        </w:rPr>
      </w:pPr>
      <w:r w:rsidRPr="00B72E0A">
        <w:rPr>
          <w:sz w:val="40"/>
          <w:szCs w:val="40"/>
        </w:rPr>
        <w:t>Step 1: Map All Change Initiatives</w:t>
      </w:r>
    </w:p>
    <w:p w14:paraId="24D39092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List all ongoing and upcoming change initiatives.</w:t>
      </w:r>
    </w:p>
    <w:p w14:paraId="635DFEAA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Capture key details: objectives, timelines, impacted departments, stakeholders, and dependencies.</w:t>
      </w:r>
    </w:p>
    <w:p w14:paraId="27FFA07E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Create a consolidated portfolio view for leadership visibility.</w:t>
      </w:r>
    </w:p>
    <w:p w14:paraId="14BCC85C" w14:textId="77777777" w:rsidR="00B72E0A" w:rsidRPr="00B72E0A" w:rsidRDefault="00B72E0A" w:rsidP="00B72E0A">
      <w:pPr>
        <w:pStyle w:val="Heading2"/>
        <w:rPr>
          <w:sz w:val="40"/>
          <w:szCs w:val="40"/>
        </w:rPr>
      </w:pPr>
      <w:r w:rsidRPr="00B72E0A">
        <w:rPr>
          <w:sz w:val="40"/>
          <w:szCs w:val="40"/>
        </w:rPr>
        <w:t>Step 2: Identify Interdependencies</w:t>
      </w:r>
    </w:p>
    <w:p w14:paraId="295F28F2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Review initiatives for overlaps, conflicts, and competing priorities.</w:t>
      </w:r>
    </w:p>
    <w:p w14:paraId="42B2963E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Determine sequencing of initiatives where necessary.</w:t>
      </w:r>
    </w:p>
    <w:p w14:paraId="583AA98E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Flag high-risk overlaps for leadership review.</w:t>
      </w:r>
    </w:p>
    <w:p w14:paraId="5D878F0A" w14:textId="77777777" w:rsidR="00B72E0A" w:rsidRPr="00B72E0A" w:rsidRDefault="00B72E0A" w:rsidP="00B72E0A">
      <w:pPr>
        <w:pStyle w:val="Heading2"/>
        <w:rPr>
          <w:sz w:val="40"/>
          <w:szCs w:val="40"/>
        </w:rPr>
      </w:pPr>
      <w:r w:rsidRPr="00B72E0A">
        <w:rPr>
          <w:sz w:val="40"/>
          <w:szCs w:val="40"/>
        </w:rPr>
        <w:t>Step 3: Engage Stakeholders Early</w:t>
      </w:r>
    </w:p>
    <w:p w14:paraId="34876666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Identify key stakeholders across all initiatives.</w:t>
      </w:r>
    </w:p>
    <w:p w14:paraId="497022E2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Map stakeholders by influence, interest, and support level.</w:t>
      </w:r>
    </w:p>
    <w:p w14:paraId="6DF70B0B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Communicate the overall change portfolio to ensure awareness and buy-in.</w:t>
      </w:r>
    </w:p>
    <w:p w14:paraId="396FA81F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lastRenderedPageBreak/>
        <w:t>☐ Assign clear ownership and decision-making roles.</w:t>
      </w:r>
    </w:p>
    <w:p w14:paraId="0B91824F" w14:textId="77777777" w:rsidR="00B72E0A" w:rsidRPr="00B72E0A" w:rsidRDefault="00B72E0A" w:rsidP="00B72E0A">
      <w:pPr>
        <w:pStyle w:val="Heading2"/>
        <w:rPr>
          <w:sz w:val="40"/>
          <w:szCs w:val="40"/>
        </w:rPr>
      </w:pPr>
      <w:r w:rsidRPr="00B72E0A">
        <w:rPr>
          <w:sz w:val="40"/>
          <w:szCs w:val="40"/>
        </w:rPr>
        <w:t>Step 4: Develop a Unified Communication Plan</w:t>
      </w:r>
    </w:p>
    <w:p w14:paraId="6840CA64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Consolidate messages across initiatives to avoid conflicts.</w:t>
      </w:r>
    </w:p>
    <w:p w14:paraId="18A1594A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Define communication channels (email, intranet, town halls, dashboards).</w:t>
      </w:r>
    </w:p>
    <w:p w14:paraId="00EB2223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Tailor messaging for different stakeholder groups.</w:t>
      </w:r>
    </w:p>
    <w:p w14:paraId="5789394F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Establish a regular cadence for updates.</w:t>
      </w:r>
    </w:p>
    <w:p w14:paraId="46686610" w14:textId="77777777" w:rsidR="00B72E0A" w:rsidRPr="00B72E0A" w:rsidRDefault="00B72E0A" w:rsidP="00B72E0A">
      <w:pPr>
        <w:pStyle w:val="Heading2"/>
        <w:rPr>
          <w:sz w:val="40"/>
          <w:szCs w:val="40"/>
        </w:rPr>
      </w:pPr>
      <w:r w:rsidRPr="00B72E0A">
        <w:rPr>
          <w:sz w:val="40"/>
          <w:szCs w:val="40"/>
        </w:rPr>
        <w:t>Step 5: Track Adoption and Resistance</w:t>
      </w:r>
    </w:p>
    <w:p w14:paraId="2E205B5D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Define adoption metrics (usage, compliance, feedback).</w:t>
      </w:r>
    </w:p>
    <w:p w14:paraId="2A5DD9AD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Monitor employee sentiment and resistance indicators.</w:t>
      </w:r>
    </w:p>
    <w:p w14:paraId="6D7481FC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Provide support resources such as training, FAQs, and coaching.</w:t>
      </w:r>
    </w:p>
    <w:p w14:paraId="29AB8CF8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Adjust strategies based on adoption data.</w:t>
      </w:r>
    </w:p>
    <w:p w14:paraId="354BD9A4" w14:textId="77777777" w:rsidR="00B72E0A" w:rsidRPr="00B72E0A" w:rsidRDefault="00B72E0A" w:rsidP="00B72E0A">
      <w:pPr>
        <w:pStyle w:val="Heading2"/>
        <w:rPr>
          <w:sz w:val="40"/>
          <w:szCs w:val="40"/>
        </w:rPr>
      </w:pPr>
      <w:r w:rsidRPr="00B72E0A">
        <w:rPr>
          <w:sz w:val="40"/>
          <w:szCs w:val="40"/>
        </w:rPr>
        <w:t>Step 6: Use Portfolio Dashboards</w:t>
      </w:r>
    </w:p>
    <w:p w14:paraId="39E9305C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Set up dashboards to track initiative progress in real time.</w:t>
      </w:r>
    </w:p>
    <w:p w14:paraId="41F113B6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Consolidate metrics, risks, and adoption trends across initiatives.</w:t>
      </w:r>
    </w:p>
    <w:p w14:paraId="588E023C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Share dashboard updates with leadership and stakeholders.</w:t>
      </w:r>
    </w:p>
    <w:p w14:paraId="5AF89ED2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Use dashboards to flag issues early and coordinate responses.</w:t>
      </w:r>
    </w:p>
    <w:p w14:paraId="0EF1D521" w14:textId="77777777" w:rsidR="00B72E0A" w:rsidRPr="00B72E0A" w:rsidRDefault="00B72E0A" w:rsidP="00B72E0A">
      <w:pPr>
        <w:pStyle w:val="Heading2"/>
        <w:rPr>
          <w:sz w:val="40"/>
          <w:szCs w:val="40"/>
        </w:rPr>
      </w:pPr>
      <w:r w:rsidRPr="00B72E0A">
        <w:rPr>
          <w:sz w:val="40"/>
          <w:szCs w:val="40"/>
        </w:rPr>
        <w:t>Step 7: Review and Adjust Continuously</w:t>
      </w:r>
    </w:p>
    <w:p w14:paraId="6E8A099C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Conduct regular portfolio-level reviews.</w:t>
      </w:r>
    </w:p>
    <w:p w14:paraId="409F8F79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Adjust timelines, priorities, or resources based on evolving needs.</w:t>
      </w:r>
    </w:p>
    <w:p w14:paraId="444FDAB7" w14:textId="77777777" w:rsidR="00B72E0A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Retire or pause non-critical initiatives when necessary.</w:t>
      </w:r>
    </w:p>
    <w:p w14:paraId="54597C0D" w14:textId="753BEB3A" w:rsidR="000A6500" w:rsidRPr="00B72E0A" w:rsidRDefault="00B72E0A" w:rsidP="00B72E0A">
      <w:pPr>
        <w:rPr>
          <w:sz w:val="28"/>
          <w:szCs w:val="28"/>
        </w:rPr>
      </w:pPr>
      <w:r w:rsidRPr="00B72E0A">
        <w:rPr>
          <w:sz w:val="28"/>
          <w:szCs w:val="28"/>
        </w:rPr>
        <w:t>☐ Document lessons learned and apply them to future initiatives.</w:t>
      </w: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p w14:paraId="4E24524A" w14:textId="77777777" w:rsidR="00081DBA" w:rsidRDefault="00081DBA"/>
    <w:sectPr w:rsidR="0008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72" style="width:0;height:1.5pt" o:hralign="center" o:bullet="t" o:hrstd="t" o:hr="t" fillcolor="#a0a0a0" stroked="f"/>
    </w:pict>
  </w:numPicBullet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709BE"/>
    <w:rsid w:val="00293911"/>
    <w:rsid w:val="00324A2A"/>
    <w:rsid w:val="00364FCF"/>
    <w:rsid w:val="004A2D09"/>
    <w:rsid w:val="004C4822"/>
    <w:rsid w:val="005465F9"/>
    <w:rsid w:val="005B0450"/>
    <w:rsid w:val="00755C62"/>
    <w:rsid w:val="00835733"/>
    <w:rsid w:val="008E4049"/>
    <w:rsid w:val="00A979BF"/>
    <w:rsid w:val="00AE35D3"/>
    <w:rsid w:val="00B72E0A"/>
    <w:rsid w:val="00C23013"/>
    <w:rsid w:val="00C7029F"/>
    <w:rsid w:val="00C9648C"/>
    <w:rsid w:val="00CE2172"/>
    <w:rsid w:val="00E13AFA"/>
    <w:rsid w:val="00E27C1F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10</cp:revision>
  <dcterms:created xsi:type="dcterms:W3CDTF">2025-06-10T19:02:00Z</dcterms:created>
  <dcterms:modified xsi:type="dcterms:W3CDTF">2025-08-18T20:22:00Z</dcterms:modified>
</cp:coreProperties>
</file>