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2416A5DE">
            <wp:extent cx="2545080" cy="321606"/>
            <wp:effectExtent l="0" t="0" r="0" b="254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1EDEE430" w14:textId="26D4E005" w:rsidR="00C7029F" w:rsidRPr="00372B43" w:rsidRDefault="00C7029F" w:rsidP="00C7029F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2301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03974775" w14:textId="77777777" w:rsidR="00293911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1AA227E" w14:textId="65729366" w:rsidR="002709BE" w:rsidRDefault="001076A8" w:rsidP="002709BE">
      <w:pPr>
        <w:jc w:val="center"/>
        <w:rPr>
          <w:b/>
          <w:bCs/>
          <w:color w:val="074F6A" w:themeColor="accent4" w:themeShade="80"/>
          <w:sz w:val="56"/>
          <w:szCs w:val="56"/>
        </w:rPr>
      </w:pPr>
      <w:bookmarkStart w:id="1" w:name="_Hlk204579179"/>
      <w:r>
        <w:rPr>
          <w:b/>
          <w:bCs/>
          <w:color w:val="074F6A" w:themeColor="accent4" w:themeShade="80"/>
          <w:sz w:val="56"/>
          <w:szCs w:val="56"/>
        </w:rPr>
        <w:t xml:space="preserve">Organizational </w:t>
      </w:r>
      <w:r w:rsidR="00D43F4E">
        <w:rPr>
          <w:b/>
          <w:bCs/>
          <w:color w:val="074F6A" w:themeColor="accent4" w:themeShade="80"/>
          <w:sz w:val="56"/>
          <w:szCs w:val="56"/>
        </w:rPr>
        <w:t>C</w:t>
      </w:r>
      <w:r w:rsidR="00D43F4E" w:rsidRPr="00D43F4E">
        <w:rPr>
          <w:b/>
          <w:bCs/>
          <w:color w:val="074F6A" w:themeColor="accent4" w:themeShade="80"/>
          <w:sz w:val="56"/>
          <w:szCs w:val="56"/>
        </w:rPr>
        <w:t>hange Readiness Checklist</w:t>
      </w:r>
    </w:p>
    <w:bookmarkEnd w:id="1"/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2FFBEA45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This checklist provides a more detailed assessment of Change Readiness across leadership, employees, communication, resources, and organizational culture. Use it to identify strengths, weaknesses, and areas requiring targeted improvement before rolling out change initiatives.</w:t>
      </w:r>
    </w:p>
    <w:p w14:paraId="6E57130F" w14:textId="77777777" w:rsidR="00D43F4E" w:rsidRPr="00D43F4E" w:rsidRDefault="00D43F4E" w:rsidP="00D43F4E">
      <w:pPr>
        <w:pStyle w:val="Heading2"/>
        <w:rPr>
          <w:sz w:val="44"/>
          <w:szCs w:val="44"/>
        </w:rPr>
      </w:pPr>
      <w:r w:rsidRPr="00D43F4E">
        <w:rPr>
          <w:sz w:val="44"/>
          <w:szCs w:val="44"/>
        </w:rPr>
        <w:t>1. Leadership Alignment</w:t>
      </w:r>
    </w:p>
    <w:p w14:paraId="1D8316EB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Are leaders united in their vision for change?</w:t>
      </w:r>
    </w:p>
    <w:p w14:paraId="49130193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Do leaders consistently communicate the same message?</w:t>
      </w:r>
    </w:p>
    <w:p w14:paraId="793033D3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Have leaders clearly defined success metrics for the change initiative?</w:t>
      </w:r>
    </w:p>
    <w:p w14:paraId="4941142C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Are leaders modeling the behaviors they expect from employees?</w:t>
      </w:r>
    </w:p>
    <w:p w14:paraId="60AFB2D3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Is there visible executive sponsorship backing the change?</w:t>
      </w:r>
    </w:p>
    <w:p w14:paraId="4F6C367F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 xml:space="preserve">☐ Have leaders been trained on how to lead through </w:t>
      </w:r>
      <w:proofErr w:type="gramStart"/>
      <w:r w:rsidRPr="00D43F4E">
        <w:rPr>
          <w:sz w:val="32"/>
          <w:szCs w:val="32"/>
        </w:rPr>
        <w:t>change?</w:t>
      </w:r>
      <w:proofErr w:type="gramEnd"/>
    </w:p>
    <w:p w14:paraId="05738AEB" w14:textId="77777777" w:rsidR="00D43F4E" w:rsidRPr="00D43F4E" w:rsidRDefault="00D43F4E" w:rsidP="00D43F4E">
      <w:pPr>
        <w:pStyle w:val="Heading2"/>
        <w:rPr>
          <w:sz w:val="44"/>
          <w:szCs w:val="44"/>
        </w:rPr>
      </w:pPr>
      <w:r w:rsidRPr="00D43F4E">
        <w:rPr>
          <w:sz w:val="44"/>
          <w:szCs w:val="44"/>
        </w:rPr>
        <w:t>2. Employee Sentiment</w:t>
      </w:r>
    </w:p>
    <w:p w14:paraId="3CA5189C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Have employees been informed early about the change?</w:t>
      </w:r>
    </w:p>
    <w:p w14:paraId="24ADFE34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 xml:space="preserve">☐ Do employees understand why the change is </w:t>
      </w:r>
      <w:proofErr w:type="gramStart"/>
      <w:r w:rsidRPr="00D43F4E">
        <w:rPr>
          <w:sz w:val="32"/>
          <w:szCs w:val="32"/>
        </w:rPr>
        <w:t>happening?</w:t>
      </w:r>
      <w:proofErr w:type="gramEnd"/>
    </w:p>
    <w:p w14:paraId="41FDC916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lastRenderedPageBreak/>
        <w:t>☐ Have employees expressed willingness to adopt the change?</w:t>
      </w:r>
    </w:p>
    <w:p w14:paraId="401833AC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Are there channels (e.g., surveys, focus groups) for employees to voice concerns?</w:t>
      </w:r>
    </w:p>
    <w:p w14:paraId="7B832FC9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 xml:space="preserve">☐ Are employees aware of how the change will impact their daily </w:t>
      </w:r>
      <w:proofErr w:type="gramStart"/>
      <w:r w:rsidRPr="00D43F4E">
        <w:rPr>
          <w:sz w:val="32"/>
          <w:szCs w:val="32"/>
        </w:rPr>
        <w:t>work?</w:t>
      </w:r>
      <w:proofErr w:type="gramEnd"/>
    </w:p>
    <w:p w14:paraId="72CD3E35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Are employees motivated by incentives, recognition, or personal benefits tied to the change?</w:t>
      </w:r>
    </w:p>
    <w:p w14:paraId="46D871C3" w14:textId="77777777" w:rsidR="00D43F4E" w:rsidRPr="00D43F4E" w:rsidRDefault="00D43F4E" w:rsidP="00D43F4E">
      <w:pPr>
        <w:pStyle w:val="Heading2"/>
        <w:rPr>
          <w:sz w:val="44"/>
          <w:szCs w:val="44"/>
        </w:rPr>
      </w:pPr>
      <w:r w:rsidRPr="00D43F4E">
        <w:rPr>
          <w:sz w:val="44"/>
          <w:szCs w:val="44"/>
        </w:rPr>
        <w:t>3. Communication Effectiveness</w:t>
      </w:r>
    </w:p>
    <w:p w14:paraId="78911F14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Is there a formal communication plan that outlines key messages and timing?</w:t>
      </w:r>
    </w:p>
    <w:p w14:paraId="726228EA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Are multiple communication channels being used (emails, meetings, intranet, town halls)?</w:t>
      </w:r>
    </w:p>
    <w:p w14:paraId="3AC89384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Do employees feel communications are transparent and trustworthy?</w:t>
      </w:r>
    </w:p>
    <w:p w14:paraId="3BD00831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Is communication frequent enough to address uncertainty and reduce rumors?</w:t>
      </w:r>
    </w:p>
    <w:p w14:paraId="36D72674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Do managers have the tools and talking points to cascade messages effectively?</w:t>
      </w:r>
    </w:p>
    <w:p w14:paraId="76EB0422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Is feedback on communication gathered and acted upon?</w:t>
      </w:r>
    </w:p>
    <w:p w14:paraId="310A7DF2" w14:textId="77777777" w:rsidR="00D43F4E" w:rsidRPr="00D43F4E" w:rsidRDefault="00D43F4E" w:rsidP="00D43F4E">
      <w:pPr>
        <w:pStyle w:val="Heading2"/>
        <w:rPr>
          <w:sz w:val="44"/>
          <w:szCs w:val="44"/>
        </w:rPr>
      </w:pPr>
      <w:r w:rsidRPr="00D43F4E">
        <w:rPr>
          <w:sz w:val="44"/>
          <w:szCs w:val="44"/>
        </w:rPr>
        <w:t>4. Training &amp; Resources</w:t>
      </w:r>
    </w:p>
    <w:p w14:paraId="7A8E6E79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Have skill gaps been identified before the change rollout?</w:t>
      </w:r>
    </w:p>
    <w:p w14:paraId="453115B0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Is training customized for different roles and responsibilities?</w:t>
      </w:r>
    </w:p>
    <w:p w14:paraId="0719D2FD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Are training sessions practical, hands-on, and easy to apply?</w:t>
      </w:r>
    </w:p>
    <w:p w14:paraId="04BFE36B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lastRenderedPageBreak/>
        <w:t>☐ Are resources (manuals, FAQs, job aids) readily accessible when needed?</w:t>
      </w:r>
    </w:p>
    <w:p w14:paraId="5084397E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Is post-training support available (coaching, help desk, peer champions)?</w:t>
      </w:r>
    </w:p>
    <w:p w14:paraId="7B9E6465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Are there mechanisms to measure training effectiveness and retention?</w:t>
      </w:r>
    </w:p>
    <w:p w14:paraId="067E7DCA" w14:textId="77777777" w:rsidR="00D43F4E" w:rsidRPr="00D43F4E" w:rsidRDefault="00D43F4E" w:rsidP="00D43F4E">
      <w:pPr>
        <w:pStyle w:val="Heading2"/>
        <w:rPr>
          <w:sz w:val="44"/>
          <w:szCs w:val="44"/>
        </w:rPr>
      </w:pPr>
      <w:r w:rsidRPr="00D43F4E">
        <w:rPr>
          <w:sz w:val="44"/>
          <w:szCs w:val="44"/>
        </w:rPr>
        <w:t>5. Organizational Culture &amp; Capacity</w:t>
      </w:r>
    </w:p>
    <w:p w14:paraId="3DAC750A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Does the organizational culture embrace agility, learning, and innovation?</w:t>
      </w:r>
    </w:p>
    <w:p w14:paraId="1C12E57D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Is there evidence of previous successful change adoption?</w:t>
      </w:r>
    </w:p>
    <w:p w14:paraId="1BFAB29F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 xml:space="preserve">☐ Are there signs of </w:t>
      </w:r>
      <w:proofErr w:type="gramStart"/>
      <w:r w:rsidRPr="00D43F4E">
        <w:rPr>
          <w:sz w:val="32"/>
          <w:szCs w:val="32"/>
        </w:rPr>
        <w:t>change</w:t>
      </w:r>
      <w:proofErr w:type="gramEnd"/>
      <w:r w:rsidRPr="00D43F4E">
        <w:rPr>
          <w:sz w:val="32"/>
          <w:szCs w:val="32"/>
        </w:rPr>
        <w:t xml:space="preserve"> fatigue among employees?</w:t>
      </w:r>
    </w:p>
    <w:p w14:paraId="7BA338CD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Are current workloads and priorities manageable, or are employees overloaded?</w:t>
      </w:r>
    </w:p>
    <w:p w14:paraId="3FC715C5" w14:textId="77777777" w:rsidR="00D43F4E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Does the reward system encourage adoption of new processes?</w:t>
      </w:r>
    </w:p>
    <w:p w14:paraId="54597C0D" w14:textId="745175BE" w:rsidR="000A6500" w:rsidRPr="00D43F4E" w:rsidRDefault="00D43F4E" w:rsidP="00D43F4E">
      <w:pPr>
        <w:rPr>
          <w:sz w:val="32"/>
          <w:szCs w:val="32"/>
        </w:rPr>
      </w:pPr>
      <w:r w:rsidRPr="00D43F4E">
        <w:rPr>
          <w:sz w:val="32"/>
          <w:szCs w:val="32"/>
        </w:rPr>
        <w:t>☐ Are managers equipped to reinforce cultural alignment during the change?</w:t>
      </w:r>
    </w:p>
    <w:p w14:paraId="25A675A4" w14:textId="77777777" w:rsidR="005465F9" w:rsidRDefault="00000000" w:rsidP="0002148C">
      <w:pPr>
        <w:jc w:val="center"/>
        <w:rPr>
          <w:sz w:val="32"/>
          <w:szCs w:val="32"/>
        </w:rPr>
      </w:pPr>
      <w:r>
        <w:pict w14:anchorId="5D7C35DB">
          <v:rect id="_x0000_i1028" style="width:0;height:1.5pt" o:hralign="center" o:bullet="t" o:hrstd="t" o:hr="t" fillcolor="#a0a0a0" stroked="f"/>
        </w:pict>
      </w:r>
      <w:r w:rsidR="0002148C" w:rsidRPr="000A6500">
        <w:rPr>
          <w:sz w:val="32"/>
          <w:szCs w:val="32"/>
        </w:rPr>
        <w:t xml:space="preserve">View our website for more helpful guides: </w:t>
      </w:r>
    </w:p>
    <w:p w14:paraId="526D75C9" w14:textId="6F71BE23" w:rsidR="005465F9" w:rsidRPr="005465F9" w:rsidRDefault="005465F9" w:rsidP="0002148C">
      <w:pPr>
        <w:jc w:val="center"/>
        <w:rPr>
          <w:sz w:val="32"/>
          <w:szCs w:val="32"/>
        </w:rPr>
      </w:pPr>
      <w:hyperlink r:id="rId6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7EBE01A1" w14:textId="60036F6D" w:rsidR="0002148C" w:rsidRPr="000A6500" w:rsidRDefault="0002148C" w:rsidP="0002148C">
      <w:pPr>
        <w:jc w:val="center"/>
        <w:rPr>
          <w:sz w:val="32"/>
          <w:szCs w:val="32"/>
        </w:rPr>
      </w:pPr>
      <w:hyperlink r:id="rId7" w:history="1"/>
      <w:r w:rsidR="00000000">
        <w:pict w14:anchorId="62F5B291">
          <v:rect id="_x0000_i1029" style="width:0;height:1.5pt" o:hralign="center" o:hrstd="t" o:hr="t" fillcolor="#a0a0a0" stroked="f"/>
        </w:pict>
      </w:r>
    </w:p>
    <w:p w14:paraId="4E24524A" w14:textId="77777777" w:rsidR="00081DBA" w:rsidRDefault="00081DBA"/>
    <w:sectPr w:rsidR="0008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2" style="width:0;height:1.5pt" o:hralign="center" o:bullet="t" o:hrstd="t" o:hr="t" fillcolor="#a0a0a0" stroked="f"/>
    </w:pict>
  </w:numPicBullet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1"/>
  </w:num>
  <w:num w:numId="2" w16cid:durableId="1084032365">
    <w:abstractNumId w:val="1"/>
  </w:num>
  <w:num w:numId="3" w16cid:durableId="1213806683">
    <w:abstractNumId w:val="9"/>
  </w:num>
  <w:num w:numId="4" w16cid:durableId="1172917730">
    <w:abstractNumId w:val="4"/>
  </w:num>
  <w:num w:numId="5" w16cid:durableId="110130525">
    <w:abstractNumId w:val="3"/>
  </w:num>
  <w:num w:numId="6" w16cid:durableId="1543709641">
    <w:abstractNumId w:val="8"/>
  </w:num>
  <w:num w:numId="7" w16cid:durableId="98138955">
    <w:abstractNumId w:val="0"/>
  </w:num>
  <w:num w:numId="8" w16cid:durableId="461463887">
    <w:abstractNumId w:val="7"/>
  </w:num>
  <w:num w:numId="9" w16cid:durableId="456029052">
    <w:abstractNumId w:val="10"/>
  </w:num>
  <w:num w:numId="10" w16cid:durableId="1410080464">
    <w:abstractNumId w:val="2"/>
  </w:num>
  <w:num w:numId="11" w16cid:durableId="1020624332">
    <w:abstractNumId w:val="6"/>
  </w:num>
  <w:num w:numId="12" w16cid:durableId="57019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0C775F"/>
    <w:rsid w:val="001076A8"/>
    <w:rsid w:val="001E68B4"/>
    <w:rsid w:val="002709BE"/>
    <w:rsid w:val="00293911"/>
    <w:rsid w:val="00324A2A"/>
    <w:rsid w:val="00364FCF"/>
    <w:rsid w:val="004C4822"/>
    <w:rsid w:val="005465F9"/>
    <w:rsid w:val="005B0450"/>
    <w:rsid w:val="00755C62"/>
    <w:rsid w:val="00835733"/>
    <w:rsid w:val="008E4049"/>
    <w:rsid w:val="00A979BF"/>
    <w:rsid w:val="00AE35D3"/>
    <w:rsid w:val="00C23013"/>
    <w:rsid w:val="00C7029F"/>
    <w:rsid w:val="00C9648C"/>
    <w:rsid w:val="00CE2172"/>
    <w:rsid w:val="00D43F4E"/>
    <w:rsid w:val="00E13AFA"/>
    <w:rsid w:val="00E27C1F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3</cp:revision>
  <dcterms:created xsi:type="dcterms:W3CDTF">2025-08-18T17:40:00Z</dcterms:created>
  <dcterms:modified xsi:type="dcterms:W3CDTF">2025-08-18T17:40:00Z</dcterms:modified>
</cp:coreProperties>
</file>