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2E758" w14:textId="5AC7A5C2" w:rsidR="0002148C" w:rsidRPr="00CE2172" w:rsidRDefault="00CE2172" w:rsidP="00CE2172">
      <w:pPr>
        <w:jc w:val="center"/>
      </w:pPr>
      <w:r>
        <w:rPr>
          <w:noProof/>
        </w:rPr>
        <w:drawing>
          <wp:inline distT="0" distB="0" distL="0" distR="0" wp14:anchorId="4E47606A" wp14:editId="2416A5DE">
            <wp:extent cx="2545080" cy="321606"/>
            <wp:effectExtent l="0" t="0" r="0" b="2540"/>
            <wp:docPr id="1570161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161164"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08638" cy="329637"/>
                    </a:xfrm>
                    <a:prstGeom prst="rect">
                      <a:avLst/>
                    </a:prstGeom>
                  </pic:spPr>
                </pic:pic>
              </a:graphicData>
            </a:graphic>
          </wp:inline>
        </w:drawing>
      </w:r>
    </w:p>
    <w:bookmarkStart w:id="0" w:name="_Hlk204578734"/>
    <w:p w14:paraId="1EDEE430" w14:textId="26D4E005" w:rsidR="00C7029F" w:rsidRPr="00372B43" w:rsidRDefault="00C7029F" w:rsidP="00C7029F">
      <w:pPr>
        <w:jc w:val="center"/>
        <w:rPr>
          <w:b/>
          <w:bCs/>
          <w:i/>
          <w:iCs/>
          <w:color w:val="074F6A" w:themeColor="accent4" w:themeShade="80"/>
          <w:sz w:val="40"/>
          <w:szCs w:val="40"/>
        </w:rPr>
      </w:pPr>
      <w:r>
        <w:rPr>
          <w:b/>
          <w:bCs/>
          <w:sz w:val="28"/>
          <w:szCs w:val="28"/>
        </w:rPr>
        <w:fldChar w:fldCharType="begin"/>
      </w:r>
      <w:r>
        <w:rPr>
          <w:b/>
          <w:bCs/>
          <w:sz w:val="28"/>
          <w:szCs w:val="28"/>
        </w:rPr>
        <w:instrText>HYPERLINK "https://www.ocmsolution.com/enterprise-change-management-software/"</w:instrText>
      </w:r>
      <w:r>
        <w:rPr>
          <w:b/>
          <w:bCs/>
          <w:sz w:val="28"/>
          <w:szCs w:val="28"/>
        </w:rPr>
      </w:r>
      <w:r>
        <w:rPr>
          <w:b/>
          <w:bCs/>
          <w:sz w:val="28"/>
          <w:szCs w:val="28"/>
        </w:rPr>
        <w:fldChar w:fldCharType="separate"/>
      </w:r>
      <w:r w:rsidRPr="00372B43">
        <w:rPr>
          <w:rStyle w:val="Hyperlink"/>
          <w:b/>
          <w:bCs/>
          <w:sz w:val="28"/>
          <w:szCs w:val="28"/>
        </w:rPr>
        <w:t xml:space="preserve">Get Your </w:t>
      </w:r>
      <w:r>
        <w:rPr>
          <w:rStyle w:val="Hyperlink"/>
          <w:b/>
          <w:bCs/>
          <w:sz w:val="28"/>
          <w:szCs w:val="28"/>
        </w:rPr>
        <w:t xml:space="preserve">OCM </w:t>
      </w:r>
      <w:r w:rsidRPr="00372B43">
        <w:rPr>
          <w:rStyle w:val="Hyperlink"/>
          <w:b/>
          <w:bCs/>
          <w:sz w:val="28"/>
          <w:szCs w:val="28"/>
        </w:rPr>
        <w:t>C</w:t>
      </w:r>
      <w:r>
        <w:rPr>
          <w:rStyle w:val="Hyperlink"/>
          <w:b/>
          <w:bCs/>
          <w:sz w:val="28"/>
          <w:szCs w:val="28"/>
        </w:rPr>
        <w:t xml:space="preserve">hange </w:t>
      </w:r>
      <w:r w:rsidRPr="00372B43">
        <w:rPr>
          <w:rStyle w:val="Hyperlink"/>
          <w:b/>
          <w:bCs/>
          <w:sz w:val="28"/>
          <w:szCs w:val="28"/>
        </w:rPr>
        <w:t>Management Software</w:t>
      </w:r>
      <w:r>
        <w:rPr>
          <w:b/>
          <w:bCs/>
          <w:sz w:val="28"/>
          <w:szCs w:val="28"/>
        </w:rPr>
        <w:fldChar w:fldCharType="end"/>
      </w:r>
      <w:r>
        <w:rPr>
          <w:b/>
          <w:bCs/>
          <w:sz w:val="28"/>
          <w:szCs w:val="28"/>
        </w:rPr>
        <w:t xml:space="preserve"> </w:t>
      </w:r>
      <w:r>
        <w:rPr>
          <w:b/>
          <w:bCs/>
          <w:sz w:val="28"/>
          <w:szCs w:val="28"/>
        </w:rPr>
        <w:br/>
      </w:r>
      <w:r w:rsidRPr="00372B43">
        <w:rPr>
          <w:i/>
          <w:iCs/>
        </w:rPr>
        <w:t>(Free Trial. No Credit Card Need</w:t>
      </w:r>
      <w:r w:rsidR="00C23013">
        <w:rPr>
          <w:i/>
          <w:iCs/>
        </w:rPr>
        <w:t>ed</w:t>
      </w:r>
      <w:r w:rsidRPr="00372B43">
        <w:rPr>
          <w:i/>
          <w:iCs/>
        </w:rPr>
        <w:t>)</w:t>
      </w:r>
    </w:p>
    <w:bookmarkEnd w:id="0"/>
    <w:p w14:paraId="03974775" w14:textId="77777777" w:rsidR="00293911" w:rsidRDefault="00000000" w:rsidP="0002148C">
      <w:pPr>
        <w:jc w:val="center"/>
      </w:pPr>
      <w:r>
        <w:pict w14:anchorId="1A86FD24">
          <v:rect id="_x0000_i1026" style="width:0;height:1.5pt" o:hralign="center" o:bullet="t" o:hrstd="t" o:hr="t" fillcolor="#a0a0a0" stroked="f"/>
        </w:pict>
      </w:r>
    </w:p>
    <w:p w14:paraId="71AA227E" w14:textId="74D916B3" w:rsidR="002709BE" w:rsidRDefault="00A30A9B" w:rsidP="002709BE">
      <w:pPr>
        <w:jc w:val="center"/>
        <w:rPr>
          <w:b/>
          <w:bCs/>
          <w:color w:val="074F6A" w:themeColor="accent4" w:themeShade="80"/>
          <w:sz w:val="56"/>
          <w:szCs w:val="56"/>
        </w:rPr>
      </w:pPr>
      <w:bookmarkStart w:id="1" w:name="_Hlk204579179"/>
      <w:r w:rsidRPr="00A30A9B">
        <w:rPr>
          <w:b/>
          <w:bCs/>
          <w:color w:val="074F6A" w:themeColor="accent4" w:themeShade="80"/>
          <w:sz w:val="56"/>
          <w:szCs w:val="56"/>
        </w:rPr>
        <w:t>Stakeholder Assessment and Mapping Checklist</w:t>
      </w:r>
    </w:p>
    <w:bookmarkEnd w:id="1"/>
    <w:p w14:paraId="06E9DC1D" w14:textId="6A4F8FD2" w:rsidR="0002148C" w:rsidRDefault="00000000" w:rsidP="0002148C">
      <w:r>
        <w:pict w14:anchorId="0E944CB6">
          <v:rect id="_x0000_i1027" style="width:0;height:1.5pt" o:hralign="center" o:hrstd="t" o:hr="t" fillcolor="#a0a0a0" stroked="f"/>
        </w:pict>
      </w:r>
    </w:p>
    <w:p w14:paraId="712E485B" w14:textId="77777777" w:rsidR="00A30A9B" w:rsidRPr="00A30A9B" w:rsidRDefault="00A30A9B" w:rsidP="00A30A9B">
      <w:pPr>
        <w:rPr>
          <w:sz w:val="28"/>
          <w:szCs w:val="28"/>
        </w:rPr>
      </w:pPr>
      <w:r w:rsidRPr="00A30A9B">
        <w:rPr>
          <w:sz w:val="28"/>
          <w:szCs w:val="28"/>
        </w:rPr>
        <w:t>Use this checklist to identify, analyze, and engage stakeholders effectively during your change management initiatives. This document is designed to guide change managers, project teams, and organizational leaders through each step of the stakeholder mapping process.</w:t>
      </w:r>
    </w:p>
    <w:p w14:paraId="179AB8FB" w14:textId="77777777" w:rsidR="00A30A9B" w:rsidRPr="00A30A9B" w:rsidRDefault="00A30A9B" w:rsidP="00A30A9B">
      <w:pPr>
        <w:pStyle w:val="Heading2"/>
        <w:rPr>
          <w:sz w:val="40"/>
          <w:szCs w:val="40"/>
        </w:rPr>
      </w:pPr>
      <w:r w:rsidRPr="00A30A9B">
        <w:rPr>
          <w:sz w:val="40"/>
          <w:szCs w:val="40"/>
        </w:rPr>
        <w:t>Step 1: Identify Stakeholders</w:t>
      </w:r>
    </w:p>
    <w:p w14:paraId="25B7462F" w14:textId="77777777" w:rsidR="00A30A9B" w:rsidRPr="00A30A9B" w:rsidRDefault="00A30A9B" w:rsidP="00A30A9B">
      <w:pPr>
        <w:rPr>
          <w:sz w:val="28"/>
          <w:szCs w:val="28"/>
        </w:rPr>
      </w:pPr>
      <w:r w:rsidRPr="00A30A9B">
        <w:rPr>
          <w:sz w:val="28"/>
          <w:szCs w:val="28"/>
        </w:rPr>
        <w:t>☐ List all individuals, teams, and groups impacted by the change initiative.</w:t>
      </w:r>
    </w:p>
    <w:p w14:paraId="030C3A1E" w14:textId="77777777" w:rsidR="00A30A9B" w:rsidRPr="00A30A9B" w:rsidRDefault="00A30A9B" w:rsidP="00A30A9B">
      <w:pPr>
        <w:rPr>
          <w:sz w:val="28"/>
          <w:szCs w:val="28"/>
        </w:rPr>
      </w:pPr>
      <w:r w:rsidRPr="00A30A9B">
        <w:rPr>
          <w:sz w:val="28"/>
          <w:szCs w:val="28"/>
        </w:rPr>
        <w:t>☐ Include executives, managers, employees, customers, vendors, and regulators.</w:t>
      </w:r>
    </w:p>
    <w:p w14:paraId="071E377E" w14:textId="77777777" w:rsidR="00A30A9B" w:rsidRPr="00A30A9B" w:rsidRDefault="00A30A9B" w:rsidP="00A30A9B">
      <w:pPr>
        <w:rPr>
          <w:sz w:val="28"/>
          <w:szCs w:val="28"/>
        </w:rPr>
      </w:pPr>
      <w:r w:rsidRPr="00A30A9B">
        <w:rPr>
          <w:sz w:val="28"/>
          <w:szCs w:val="28"/>
        </w:rPr>
        <w:t>☐ Confirm stakeholder list with project sponsors and team leads.</w:t>
      </w:r>
    </w:p>
    <w:p w14:paraId="2D437ECB" w14:textId="77777777" w:rsidR="00A30A9B" w:rsidRPr="00A30A9B" w:rsidRDefault="00A30A9B" w:rsidP="00A30A9B">
      <w:pPr>
        <w:pStyle w:val="Heading2"/>
        <w:rPr>
          <w:sz w:val="40"/>
          <w:szCs w:val="40"/>
        </w:rPr>
      </w:pPr>
      <w:r w:rsidRPr="00A30A9B">
        <w:rPr>
          <w:sz w:val="40"/>
          <w:szCs w:val="40"/>
        </w:rPr>
        <w:t>Step 2: Analyze Influence and Impact</w:t>
      </w:r>
    </w:p>
    <w:p w14:paraId="11640E0D" w14:textId="77777777" w:rsidR="00A30A9B" w:rsidRPr="00A30A9B" w:rsidRDefault="00A30A9B" w:rsidP="00A30A9B">
      <w:pPr>
        <w:rPr>
          <w:sz w:val="28"/>
          <w:szCs w:val="28"/>
        </w:rPr>
      </w:pPr>
      <w:r w:rsidRPr="00A30A9B">
        <w:rPr>
          <w:sz w:val="28"/>
          <w:szCs w:val="28"/>
        </w:rPr>
        <w:t>☐ Place each stakeholder into an Influence vs. Impact matrix.</w:t>
      </w:r>
    </w:p>
    <w:p w14:paraId="467BCAEC" w14:textId="77777777" w:rsidR="00A30A9B" w:rsidRPr="00A30A9B" w:rsidRDefault="00A30A9B" w:rsidP="00A30A9B">
      <w:pPr>
        <w:rPr>
          <w:sz w:val="28"/>
          <w:szCs w:val="28"/>
        </w:rPr>
      </w:pPr>
      <w:r w:rsidRPr="00A30A9B">
        <w:rPr>
          <w:sz w:val="28"/>
          <w:szCs w:val="28"/>
        </w:rPr>
        <w:t>☐ High influence, high impact = critical stakeholders to prioritize.</w:t>
      </w:r>
    </w:p>
    <w:p w14:paraId="162498CA" w14:textId="77777777" w:rsidR="00A30A9B" w:rsidRPr="00A30A9B" w:rsidRDefault="00A30A9B" w:rsidP="00A30A9B">
      <w:pPr>
        <w:rPr>
          <w:sz w:val="28"/>
          <w:szCs w:val="28"/>
        </w:rPr>
      </w:pPr>
      <w:r w:rsidRPr="00A30A9B">
        <w:rPr>
          <w:sz w:val="28"/>
          <w:szCs w:val="28"/>
        </w:rPr>
        <w:t>☐ High influence, low impact = leverage as influencers.</w:t>
      </w:r>
    </w:p>
    <w:p w14:paraId="15063F79" w14:textId="77777777" w:rsidR="00A30A9B" w:rsidRPr="00A30A9B" w:rsidRDefault="00A30A9B" w:rsidP="00A30A9B">
      <w:pPr>
        <w:rPr>
          <w:sz w:val="28"/>
          <w:szCs w:val="28"/>
        </w:rPr>
      </w:pPr>
      <w:r w:rsidRPr="00A30A9B">
        <w:rPr>
          <w:sz w:val="28"/>
          <w:szCs w:val="28"/>
        </w:rPr>
        <w:t>☐ Low influence, high impact = ensure adequate support and training.</w:t>
      </w:r>
    </w:p>
    <w:p w14:paraId="2BBDC060" w14:textId="77777777" w:rsidR="00A30A9B" w:rsidRPr="00A30A9B" w:rsidRDefault="00A30A9B" w:rsidP="00A30A9B">
      <w:pPr>
        <w:rPr>
          <w:sz w:val="28"/>
          <w:szCs w:val="28"/>
        </w:rPr>
      </w:pPr>
      <w:r w:rsidRPr="00A30A9B">
        <w:rPr>
          <w:sz w:val="28"/>
          <w:szCs w:val="28"/>
        </w:rPr>
        <w:t>☐ Low influence, low impact = monitor as needed.</w:t>
      </w:r>
    </w:p>
    <w:p w14:paraId="2989FE4A" w14:textId="77777777" w:rsidR="00A30A9B" w:rsidRPr="00A30A9B" w:rsidRDefault="00A30A9B" w:rsidP="00A30A9B">
      <w:pPr>
        <w:pStyle w:val="Heading2"/>
        <w:rPr>
          <w:sz w:val="40"/>
          <w:szCs w:val="40"/>
        </w:rPr>
      </w:pPr>
      <w:r w:rsidRPr="00A30A9B">
        <w:rPr>
          <w:sz w:val="40"/>
          <w:szCs w:val="40"/>
        </w:rPr>
        <w:t>Step 3: Assess Stakeholder Attitudes and Readiness</w:t>
      </w:r>
    </w:p>
    <w:p w14:paraId="2DED2770" w14:textId="77777777" w:rsidR="00A30A9B" w:rsidRPr="00A30A9B" w:rsidRDefault="00A30A9B" w:rsidP="00A30A9B">
      <w:pPr>
        <w:rPr>
          <w:sz w:val="28"/>
          <w:szCs w:val="28"/>
        </w:rPr>
      </w:pPr>
      <w:r w:rsidRPr="00A30A9B">
        <w:rPr>
          <w:sz w:val="28"/>
          <w:szCs w:val="28"/>
        </w:rPr>
        <w:t>☐ Collect data through surveys, interviews, or readiness assessments.</w:t>
      </w:r>
    </w:p>
    <w:p w14:paraId="7E0EC342" w14:textId="77777777" w:rsidR="00A30A9B" w:rsidRPr="00A30A9B" w:rsidRDefault="00A30A9B" w:rsidP="00A30A9B">
      <w:pPr>
        <w:rPr>
          <w:sz w:val="28"/>
          <w:szCs w:val="28"/>
        </w:rPr>
      </w:pPr>
      <w:r w:rsidRPr="00A30A9B">
        <w:rPr>
          <w:sz w:val="28"/>
          <w:szCs w:val="28"/>
        </w:rPr>
        <w:lastRenderedPageBreak/>
        <w:t>☐ Categorize each stakeholder as: supportive, neutral, resistant, or unaware.</w:t>
      </w:r>
    </w:p>
    <w:p w14:paraId="1765B76F" w14:textId="77777777" w:rsidR="00A30A9B" w:rsidRPr="00A30A9B" w:rsidRDefault="00A30A9B" w:rsidP="00A30A9B">
      <w:pPr>
        <w:rPr>
          <w:sz w:val="28"/>
          <w:szCs w:val="28"/>
        </w:rPr>
      </w:pPr>
      <w:r w:rsidRPr="00A30A9B">
        <w:rPr>
          <w:sz w:val="28"/>
          <w:szCs w:val="28"/>
        </w:rPr>
        <w:t>☐ Document readiness scores or feedback.</w:t>
      </w:r>
    </w:p>
    <w:p w14:paraId="343AEBED" w14:textId="77777777" w:rsidR="00A30A9B" w:rsidRPr="00A30A9B" w:rsidRDefault="00A30A9B" w:rsidP="00A30A9B">
      <w:pPr>
        <w:pStyle w:val="Heading2"/>
        <w:rPr>
          <w:sz w:val="40"/>
          <w:szCs w:val="40"/>
        </w:rPr>
      </w:pPr>
      <w:r w:rsidRPr="00A30A9B">
        <w:rPr>
          <w:sz w:val="40"/>
          <w:szCs w:val="40"/>
        </w:rPr>
        <w:t>Step 4: Develop Engagement and Communication Plans</w:t>
      </w:r>
    </w:p>
    <w:p w14:paraId="5379AB54" w14:textId="77777777" w:rsidR="00A30A9B" w:rsidRPr="00A30A9B" w:rsidRDefault="00A30A9B" w:rsidP="00A30A9B">
      <w:pPr>
        <w:rPr>
          <w:sz w:val="28"/>
          <w:szCs w:val="28"/>
        </w:rPr>
      </w:pPr>
      <w:r w:rsidRPr="00A30A9B">
        <w:rPr>
          <w:sz w:val="28"/>
          <w:szCs w:val="28"/>
        </w:rPr>
        <w:t>☐ Create tailored communication strategies for each group.</w:t>
      </w:r>
    </w:p>
    <w:p w14:paraId="7DAE933F" w14:textId="77777777" w:rsidR="00A30A9B" w:rsidRPr="00A30A9B" w:rsidRDefault="00A30A9B" w:rsidP="00A30A9B">
      <w:pPr>
        <w:rPr>
          <w:sz w:val="28"/>
          <w:szCs w:val="28"/>
        </w:rPr>
      </w:pPr>
      <w:r w:rsidRPr="00A30A9B">
        <w:rPr>
          <w:sz w:val="28"/>
          <w:szCs w:val="28"/>
        </w:rPr>
        <w:t>☐ Assign communication owners (executives, managers, change champions).</w:t>
      </w:r>
    </w:p>
    <w:p w14:paraId="2D53E102" w14:textId="77777777" w:rsidR="00A30A9B" w:rsidRPr="00A30A9B" w:rsidRDefault="00A30A9B" w:rsidP="00A30A9B">
      <w:pPr>
        <w:rPr>
          <w:sz w:val="28"/>
          <w:szCs w:val="28"/>
        </w:rPr>
      </w:pPr>
      <w:r w:rsidRPr="00A30A9B">
        <w:rPr>
          <w:sz w:val="28"/>
          <w:szCs w:val="28"/>
        </w:rPr>
        <w:t>☐ Provide training, toolkits, or FAQs where needed.</w:t>
      </w:r>
    </w:p>
    <w:p w14:paraId="05EBCCCB" w14:textId="77777777" w:rsidR="00A30A9B" w:rsidRPr="00A30A9B" w:rsidRDefault="00A30A9B" w:rsidP="00A30A9B">
      <w:pPr>
        <w:rPr>
          <w:sz w:val="28"/>
          <w:szCs w:val="28"/>
        </w:rPr>
      </w:pPr>
      <w:r w:rsidRPr="00A30A9B">
        <w:rPr>
          <w:sz w:val="28"/>
          <w:szCs w:val="28"/>
        </w:rPr>
        <w:t>☐ Plan communication cadence (weekly updates, town halls, newsletters).</w:t>
      </w:r>
    </w:p>
    <w:p w14:paraId="421C2AAA" w14:textId="77777777" w:rsidR="00A30A9B" w:rsidRPr="00A30A9B" w:rsidRDefault="00A30A9B" w:rsidP="00A30A9B">
      <w:pPr>
        <w:pStyle w:val="Heading2"/>
        <w:rPr>
          <w:sz w:val="40"/>
          <w:szCs w:val="40"/>
        </w:rPr>
      </w:pPr>
      <w:r w:rsidRPr="00A30A9B">
        <w:rPr>
          <w:sz w:val="40"/>
          <w:szCs w:val="40"/>
        </w:rPr>
        <w:t>Step 5: Monitor and Adjust</w:t>
      </w:r>
    </w:p>
    <w:p w14:paraId="4D9D87F6" w14:textId="77777777" w:rsidR="00A30A9B" w:rsidRPr="00A30A9B" w:rsidRDefault="00A30A9B" w:rsidP="00A30A9B">
      <w:pPr>
        <w:rPr>
          <w:sz w:val="28"/>
          <w:szCs w:val="28"/>
        </w:rPr>
      </w:pPr>
      <w:r w:rsidRPr="00A30A9B">
        <w:rPr>
          <w:sz w:val="28"/>
          <w:szCs w:val="28"/>
        </w:rPr>
        <w:t>☐ Revisit stakeholder mapping at key milestones.</w:t>
      </w:r>
    </w:p>
    <w:p w14:paraId="2F75B7CB" w14:textId="77777777" w:rsidR="00A30A9B" w:rsidRPr="00A30A9B" w:rsidRDefault="00A30A9B" w:rsidP="00A30A9B">
      <w:pPr>
        <w:rPr>
          <w:sz w:val="28"/>
          <w:szCs w:val="28"/>
        </w:rPr>
      </w:pPr>
      <w:r w:rsidRPr="00A30A9B">
        <w:rPr>
          <w:sz w:val="28"/>
          <w:szCs w:val="28"/>
        </w:rPr>
        <w:t>☐ Track engagement, resistance, and support levels.</w:t>
      </w:r>
    </w:p>
    <w:p w14:paraId="5218AEE7" w14:textId="77777777" w:rsidR="00A30A9B" w:rsidRPr="00A30A9B" w:rsidRDefault="00A30A9B" w:rsidP="00A30A9B">
      <w:pPr>
        <w:rPr>
          <w:sz w:val="28"/>
          <w:szCs w:val="28"/>
        </w:rPr>
      </w:pPr>
      <w:r w:rsidRPr="00A30A9B">
        <w:rPr>
          <w:sz w:val="28"/>
          <w:szCs w:val="28"/>
        </w:rPr>
        <w:t>☐ Update communication strategies based on feedback.</w:t>
      </w:r>
    </w:p>
    <w:p w14:paraId="17FAAAB0" w14:textId="77777777" w:rsidR="00A30A9B" w:rsidRPr="00A30A9B" w:rsidRDefault="00A30A9B" w:rsidP="00A30A9B">
      <w:pPr>
        <w:rPr>
          <w:sz w:val="28"/>
          <w:szCs w:val="28"/>
        </w:rPr>
      </w:pPr>
      <w:r w:rsidRPr="00A30A9B">
        <w:rPr>
          <w:sz w:val="28"/>
          <w:szCs w:val="28"/>
        </w:rPr>
        <w:t>☐ Share progress updates with the project team and sponsors.</w:t>
      </w:r>
    </w:p>
    <w:p w14:paraId="54597C0D" w14:textId="77777777" w:rsidR="000A6500" w:rsidRPr="000A6500" w:rsidRDefault="000A6500" w:rsidP="000A6500">
      <w:pPr>
        <w:spacing w:after="200" w:line="276" w:lineRule="auto"/>
        <w:contextualSpacing/>
        <w:rPr>
          <w:rFonts w:ascii="Cambria" w:eastAsia="MS Mincho" w:hAnsi="Cambria" w:cs="Times New Roman"/>
          <w:kern w:val="0"/>
          <w14:ligatures w14:val="none"/>
        </w:rPr>
      </w:pPr>
    </w:p>
    <w:p w14:paraId="25A675A4" w14:textId="77777777" w:rsidR="005465F9" w:rsidRDefault="00000000" w:rsidP="0002148C">
      <w:pPr>
        <w:jc w:val="center"/>
        <w:rPr>
          <w:sz w:val="32"/>
          <w:szCs w:val="32"/>
        </w:rPr>
      </w:pPr>
      <w:r>
        <w:pict w14:anchorId="5D7C35DB">
          <v:rect id="_x0000_i1028" style="width:0;height:1.5pt" o:hralign="center" o:bullet="t" o:hrstd="t" o:hr="t" fillcolor="#a0a0a0" stroked="f"/>
        </w:pict>
      </w:r>
      <w:r w:rsidR="0002148C" w:rsidRPr="000A6500">
        <w:rPr>
          <w:sz w:val="32"/>
          <w:szCs w:val="32"/>
        </w:rPr>
        <w:t xml:space="preserve">View our website for more helpful guides: </w:t>
      </w:r>
    </w:p>
    <w:p w14:paraId="526D75C9" w14:textId="6F71BE23" w:rsidR="005465F9" w:rsidRPr="005465F9" w:rsidRDefault="005465F9" w:rsidP="0002148C">
      <w:pPr>
        <w:jc w:val="center"/>
        <w:rPr>
          <w:sz w:val="32"/>
          <w:szCs w:val="32"/>
        </w:rPr>
      </w:pPr>
      <w:hyperlink r:id="rId6" w:history="1">
        <w:r w:rsidRPr="005465F9">
          <w:rPr>
            <w:rStyle w:val="Hyperlink"/>
            <w:sz w:val="32"/>
            <w:szCs w:val="32"/>
          </w:rPr>
          <w:t>https://www.ocmsolution.com/</w:t>
        </w:r>
      </w:hyperlink>
      <w:r w:rsidRPr="005465F9">
        <w:rPr>
          <w:sz w:val="32"/>
          <w:szCs w:val="32"/>
        </w:rPr>
        <w:t xml:space="preserve"> </w:t>
      </w:r>
    </w:p>
    <w:p w14:paraId="7EBE01A1" w14:textId="60036F6D" w:rsidR="0002148C" w:rsidRPr="000A6500" w:rsidRDefault="0002148C" w:rsidP="0002148C">
      <w:pPr>
        <w:jc w:val="center"/>
        <w:rPr>
          <w:sz w:val="32"/>
          <w:szCs w:val="32"/>
        </w:rPr>
      </w:pPr>
      <w:hyperlink r:id="rId7" w:history="1"/>
      <w:r w:rsidR="00000000">
        <w:pict w14:anchorId="62F5B291">
          <v:rect id="_x0000_i1029" style="width:0;height:1.5pt" o:hralign="center" o:hrstd="t" o:hr="t" fillcolor="#a0a0a0" stroked="f"/>
        </w:pict>
      </w:r>
    </w:p>
    <w:p w14:paraId="4E24524A" w14:textId="77777777" w:rsidR="00081DBA" w:rsidRDefault="00081DBA"/>
    <w:sectPr w:rsidR="00081D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33" style="width:0;height:1.5pt" o:hralign="center" o:bullet="t" o:hrstd="t" o:hr="t" fillcolor="#a0a0a0" stroked="f"/>
    </w:pict>
  </w:numPicBullet>
  <w:abstractNum w:abstractNumId="0" w15:restartNumberingAfterBreak="0">
    <w:nsid w:val="145A7630"/>
    <w:multiLevelType w:val="multilevel"/>
    <w:tmpl w:val="BD30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EF5341"/>
    <w:multiLevelType w:val="multilevel"/>
    <w:tmpl w:val="6E646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85A47"/>
    <w:multiLevelType w:val="multilevel"/>
    <w:tmpl w:val="3FBED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E37C4E"/>
    <w:multiLevelType w:val="multilevel"/>
    <w:tmpl w:val="0908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BF738A"/>
    <w:multiLevelType w:val="multilevel"/>
    <w:tmpl w:val="8A38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B402B3"/>
    <w:multiLevelType w:val="multilevel"/>
    <w:tmpl w:val="6D8C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D6152A"/>
    <w:multiLevelType w:val="multilevel"/>
    <w:tmpl w:val="1E589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415244"/>
    <w:multiLevelType w:val="multilevel"/>
    <w:tmpl w:val="8864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B5044E"/>
    <w:multiLevelType w:val="multilevel"/>
    <w:tmpl w:val="88989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A61124"/>
    <w:multiLevelType w:val="multilevel"/>
    <w:tmpl w:val="A522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35386D"/>
    <w:multiLevelType w:val="multilevel"/>
    <w:tmpl w:val="D6B0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7A1D66"/>
    <w:multiLevelType w:val="multilevel"/>
    <w:tmpl w:val="2CCA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3039378">
    <w:abstractNumId w:val="11"/>
  </w:num>
  <w:num w:numId="2" w16cid:durableId="1084032365">
    <w:abstractNumId w:val="1"/>
  </w:num>
  <w:num w:numId="3" w16cid:durableId="1213806683">
    <w:abstractNumId w:val="9"/>
  </w:num>
  <w:num w:numId="4" w16cid:durableId="1172917730">
    <w:abstractNumId w:val="4"/>
  </w:num>
  <w:num w:numId="5" w16cid:durableId="110130525">
    <w:abstractNumId w:val="3"/>
  </w:num>
  <w:num w:numId="6" w16cid:durableId="1543709641">
    <w:abstractNumId w:val="8"/>
  </w:num>
  <w:num w:numId="7" w16cid:durableId="98138955">
    <w:abstractNumId w:val="0"/>
  </w:num>
  <w:num w:numId="8" w16cid:durableId="461463887">
    <w:abstractNumId w:val="7"/>
  </w:num>
  <w:num w:numId="9" w16cid:durableId="456029052">
    <w:abstractNumId w:val="10"/>
  </w:num>
  <w:num w:numId="10" w16cid:durableId="1410080464">
    <w:abstractNumId w:val="2"/>
  </w:num>
  <w:num w:numId="11" w16cid:durableId="1020624332">
    <w:abstractNumId w:val="6"/>
  </w:num>
  <w:num w:numId="12" w16cid:durableId="5701926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EwNTU1NzEwNzYyM7dQ0lEKTi0uzszPAykwrAUAuLFZniwAAAA="/>
  </w:docVars>
  <w:rsids>
    <w:rsidRoot w:val="00755C62"/>
    <w:rsid w:val="0002148C"/>
    <w:rsid w:val="00081DBA"/>
    <w:rsid w:val="00093C1D"/>
    <w:rsid w:val="000A6500"/>
    <w:rsid w:val="000C775F"/>
    <w:rsid w:val="001E68B4"/>
    <w:rsid w:val="002709BE"/>
    <w:rsid w:val="00293911"/>
    <w:rsid w:val="00324A2A"/>
    <w:rsid w:val="00364FCF"/>
    <w:rsid w:val="004C4822"/>
    <w:rsid w:val="005465F9"/>
    <w:rsid w:val="005B0450"/>
    <w:rsid w:val="00755C62"/>
    <w:rsid w:val="00835733"/>
    <w:rsid w:val="008E4049"/>
    <w:rsid w:val="00A30A9B"/>
    <w:rsid w:val="00A979BF"/>
    <w:rsid w:val="00AE35D3"/>
    <w:rsid w:val="00C23013"/>
    <w:rsid w:val="00C7029F"/>
    <w:rsid w:val="00C9648C"/>
    <w:rsid w:val="00CE2172"/>
    <w:rsid w:val="00E13AFA"/>
    <w:rsid w:val="00E27C1F"/>
    <w:rsid w:val="00F21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CF2D0"/>
  <w15:chartTrackingRefBased/>
  <w15:docId w15:val="{EA1F4A98-5495-4083-A46A-06211414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48C"/>
  </w:style>
  <w:style w:type="paragraph" w:styleId="Heading1">
    <w:name w:val="heading 1"/>
    <w:basedOn w:val="Normal"/>
    <w:next w:val="Normal"/>
    <w:link w:val="Heading1Char"/>
    <w:uiPriority w:val="9"/>
    <w:qFormat/>
    <w:rsid w:val="00755C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5C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5C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5C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5C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5C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C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C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C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C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5C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5C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5C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5C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5C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C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C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C62"/>
    <w:rPr>
      <w:rFonts w:eastAsiaTheme="majorEastAsia" w:cstheme="majorBidi"/>
      <w:color w:val="272727" w:themeColor="text1" w:themeTint="D8"/>
    </w:rPr>
  </w:style>
  <w:style w:type="paragraph" w:styleId="Title">
    <w:name w:val="Title"/>
    <w:basedOn w:val="Normal"/>
    <w:next w:val="Normal"/>
    <w:link w:val="TitleChar"/>
    <w:uiPriority w:val="10"/>
    <w:qFormat/>
    <w:rsid w:val="00755C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C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C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C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C62"/>
    <w:pPr>
      <w:spacing w:before="160"/>
      <w:jc w:val="center"/>
    </w:pPr>
    <w:rPr>
      <w:i/>
      <w:iCs/>
      <w:color w:val="404040" w:themeColor="text1" w:themeTint="BF"/>
    </w:rPr>
  </w:style>
  <w:style w:type="character" w:customStyle="1" w:styleId="QuoteChar">
    <w:name w:val="Quote Char"/>
    <w:basedOn w:val="DefaultParagraphFont"/>
    <w:link w:val="Quote"/>
    <w:uiPriority w:val="29"/>
    <w:rsid w:val="00755C62"/>
    <w:rPr>
      <w:i/>
      <w:iCs/>
      <w:color w:val="404040" w:themeColor="text1" w:themeTint="BF"/>
    </w:rPr>
  </w:style>
  <w:style w:type="paragraph" w:styleId="ListParagraph">
    <w:name w:val="List Paragraph"/>
    <w:basedOn w:val="Normal"/>
    <w:uiPriority w:val="34"/>
    <w:qFormat/>
    <w:rsid w:val="00755C62"/>
    <w:pPr>
      <w:ind w:left="720"/>
      <w:contextualSpacing/>
    </w:pPr>
  </w:style>
  <w:style w:type="character" w:styleId="IntenseEmphasis">
    <w:name w:val="Intense Emphasis"/>
    <w:basedOn w:val="DefaultParagraphFont"/>
    <w:uiPriority w:val="21"/>
    <w:qFormat/>
    <w:rsid w:val="00755C62"/>
    <w:rPr>
      <w:i/>
      <w:iCs/>
      <w:color w:val="0F4761" w:themeColor="accent1" w:themeShade="BF"/>
    </w:rPr>
  </w:style>
  <w:style w:type="paragraph" w:styleId="IntenseQuote">
    <w:name w:val="Intense Quote"/>
    <w:basedOn w:val="Normal"/>
    <w:next w:val="Normal"/>
    <w:link w:val="IntenseQuoteChar"/>
    <w:uiPriority w:val="30"/>
    <w:qFormat/>
    <w:rsid w:val="00755C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5C62"/>
    <w:rPr>
      <w:i/>
      <w:iCs/>
      <w:color w:val="0F4761" w:themeColor="accent1" w:themeShade="BF"/>
    </w:rPr>
  </w:style>
  <w:style w:type="character" w:styleId="IntenseReference">
    <w:name w:val="Intense Reference"/>
    <w:basedOn w:val="DefaultParagraphFont"/>
    <w:uiPriority w:val="32"/>
    <w:qFormat/>
    <w:rsid w:val="00755C62"/>
    <w:rPr>
      <w:b/>
      <w:bCs/>
      <w:smallCaps/>
      <w:color w:val="0F4761" w:themeColor="accent1" w:themeShade="BF"/>
      <w:spacing w:val="5"/>
    </w:rPr>
  </w:style>
  <w:style w:type="character" w:styleId="Hyperlink">
    <w:name w:val="Hyperlink"/>
    <w:basedOn w:val="DefaultParagraphFont"/>
    <w:uiPriority w:val="99"/>
    <w:unhideWhenUsed/>
    <w:rsid w:val="0002148C"/>
    <w:rPr>
      <w:color w:val="0000FF"/>
      <w:u w:val="single"/>
    </w:rPr>
  </w:style>
  <w:style w:type="table" w:styleId="TableGrid">
    <w:name w:val="Table Grid"/>
    <w:basedOn w:val="TableNormal"/>
    <w:uiPriority w:val="59"/>
    <w:rsid w:val="000A6500"/>
    <w:pPr>
      <w:spacing w:after="0" w:line="240" w:lineRule="auto"/>
    </w:pPr>
    <w:rPr>
      <w:rFonts w:eastAsia="MS Mincho"/>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465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ocialworkport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cmsolution.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302</Words>
  <Characters>1728</Characters>
  <Application>Microsoft Office Word</Application>
  <DocSecurity>0</DocSecurity>
  <Lines>14</Lines>
  <Paragraphs>4</Paragraphs>
  <ScaleCrop>false</ScaleCrop>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Airiodion, Ogbe (Contractor)</dc:creator>
  <cp:keywords/>
  <dc:description/>
  <cp:lastModifiedBy>Ogbe Airiodion</cp:lastModifiedBy>
  <cp:revision>9</cp:revision>
  <dcterms:created xsi:type="dcterms:W3CDTF">2025-06-10T19:02:00Z</dcterms:created>
  <dcterms:modified xsi:type="dcterms:W3CDTF">2025-08-18T16:24:00Z</dcterms:modified>
</cp:coreProperties>
</file>